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40" w:line="480" w:lineRule="auto"/>
        <w:jc w:val="center"/>
      </w:pPr>
      <w:r>
        <w:rPr>
          <w:rFonts w:ascii="Times New Roman" w:hAnsi="Times New Roman"/>
          <w:b/>
          <w:color w:val="000000"/>
          <w:sz w:val="28"/>
        </w:rPr>
        <w:t>INFLUENCE OF OMENTAL SAMPLING EXTENT ON THE DETECTION OF OCCULT METASTASES IN OVARIAN AND ENDOMETRIAL CARCINOMAS</w:t>
      </w:r>
    </w:p>
    <w:p>
      <w:pPr>
        <w:spacing w:after="360" w:line="480" w:lineRule="auto"/>
        <w:jc w:val="center"/>
      </w:pPr>
      <w:r>
        <w:rPr>
          <w:rFonts w:ascii="Times New Roman" w:hAnsi="Times New Roman"/>
          <w:b w:val="0"/>
          <w:color w:val="000000"/>
          <w:sz w:val="22"/>
        </w:rPr>
        <w:t>Berrin Babaoglu, Deniz Pınar Baran, Serdar Balcı, Deniz Ates Özdemir, Alp Usubütün</w:t>
      </w:r>
    </w:p>
    <w:p>
      <w:pPr>
        <w:spacing w:after="120" w:line="480" w:lineRule="auto"/>
        <w:jc w:val="center"/>
      </w:pPr>
      <w:r>
        <w:rPr>
          <w:rFonts w:ascii="Times New Roman" w:hAnsi="Times New Roman"/>
          <w:b/>
          <w:color w:val="000000"/>
          <w:sz w:val="26"/>
        </w:rPr>
        <w:t>ABSTRACT</w:t>
      </w:r>
    </w:p>
    <w:p>
      <w:pPr>
        <w:spacing w:after="120" w:line="480" w:lineRule="auto"/>
        <w:ind w:firstLine="360"/>
      </w:pPr>
      <w:r>
        <w:rPr>
          <w:rFonts w:ascii="Times New Roman" w:hAnsi="Times New Roman"/>
          <w:b/>
          <w:color w:val="000000"/>
          <w:sz w:val="22"/>
        </w:rPr>
        <w:t>Objective</w:t>
      </w:r>
      <w:r>
        <w:rPr>
          <w:rFonts w:ascii="Times New Roman" w:hAnsi="Times New Roman"/>
          <w:b/>
          <w:color w:val="000000"/>
          <w:sz w:val="22"/>
        </w:rPr>
        <w:t xml:space="preserve"> — </w:t>
      </w:r>
      <w:r>
        <w:rPr>
          <w:rFonts w:ascii="Times New Roman" w:hAnsi="Times New Roman"/>
          <w:b w:val="0"/>
          <w:color w:val="000000"/>
          <w:sz w:val="22"/>
        </w:rPr>
        <w:t>Omental involvement is critically important for staging and prognosis, especially in ovarian and endometrial carcinomas. However, current recommendations regarding the optimal extent of histopathologic sampling in grossly normal-appearing omentum are largely practice-based and vary widely. The aim of this study was to evaluate the impact of omental sampling extent on the detection of microscopically detected (occult) metastases in a large cohort of ovarian and endometrial carcinomas and to provide concrete evidence to the literature.</w:t>
      </w:r>
    </w:p>
    <w:p>
      <w:pPr>
        <w:spacing w:after="120" w:line="480" w:lineRule="auto"/>
        <w:ind w:firstLine="360"/>
      </w:pPr>
      <w:r>
        <w:rPr>
          <w:rFonts w:ascii="Times New Roman" w:hAnsi="Times New Roman"/>
          <w:b/>
          <w:color w:val="000000"/>
          <w:sz w:val="22"/>
        </w:rPr>
        <w:t>Methods</w:t>
      </w:r>
      <w:r>
        <w:rPr>
          <w:rFonts w:ascii="Times New Roman" w:hAnsi="Times New Roman"/>
          <w:b/>
          <w:color w:val="000000"/>
          <w:sz w:val="22"/>
        </w:rPr>
        <w:t xml:space="preserve"> — </w:t>
      </w:r>
      <w:r>
        <w:rPr>
          <w:rFonts w:ascii="Times New Roman" w:hAnsi="Times New Roman"/>
          <w:b w:val="0"/>
          <w:color w:val="000000"/>
          <w:sz w:val="22"/>
        </w:rPr>
        <w:t xml:space="preserve">This retrospective study reviewed gynecologic oncology specimens from </w:t>
      </w:r>
      <w:r>
        <w:rPr>
          <w:rFonts w:ascii="Times New Roman" w:hAnsi="Times New Roman"/>
          <w:b w:val="0"/>
          <w:color w:val="FF0000"/>
          <w:sz w:val="22"/>
        </w:rPr>
        <w:t>1071 patients with a diagnosis of carcinoma and 27 with serous borderline tumor (1098 patients in total)</w:t>
      </w:r>
      <w:r>
        <w:rPr>
          <w:rFonts w:ascii="Times New Roman" w:hAnsi="Times New Roman"/>
          <w:b w:val="0"/>
          <w:color w:val="000000"/>
          <w:sz w:val="22"/>
        </w:rPr>
        <w:t xml:space="preserve"> at our department between 2014 and 2023. Cases were evaluated for age, primary tumor location, histologic subtype, chemotherapy status, presence of </w:t>
      </w:r>
      <w:r>
        <w:rPr>
          <w:rFonts w:ascii="Times New Roman" w:hAnsi="Times New Roman"/>
          <w:b w:val="0"/>
          <w:color w:val="FF0000"/>
          <w:sz w:val="22"/>
        </w:rPr>
        <w:t>a microscopically detected (occult) omental focus, defined for this study as a focus measuring less than 0.5 cm in a grossly normal-appearing omentum,</w:t>
      </w:r>
      <w:r>
        <w:rPr>
          <w:rFonts w:ascii="Times New Roman" w:hAnsi="Times New Roman"/>
          <w:b w:val="0"/>
          <w:color w:val="000000"/>
          <w:sz w:val="22"/>
        </w:rPr>
        <w:t xml:space="preserve"> and of macroscopic omental disease, the number of blocks sampled, and the block number in which the focus was first detected.</w:t>
      </w:r>
    </w:p>
    <w:p>
      <w:pPr>
        <w:spacing w:after="120" w:line="480" w:lineRule="auto"/>
        <w:ind w:firstLine="360"/>
      </w:pPr>
      <w:r>
        <w:rPr>
          <w:rFonts w:ascii="Times New Roman" w:hAnsi="Times New Roman"/>
          <w:b/>
          <w:color w:val="000000"/>
          <w:sz w:val="22"/>
        </w:rPr>
        <w:t>Results</w:t>
      </w:r>
      <w:r>
        <w:rPr>
          <w:rFonts w:ascii="Times New Roman" w:hAnsi="Times New Roman"/>
          <w:b/>
          <w:color w:val="000000"/>
          <w:sz w:val="22"/>
        </w:rPr>
        <w:t xml:space="preserve"> — </w:t>
      </w:r>
      <w:r>
        <w:rPr>
          <w:rFonts w:ascii="Times New Roman" w:hAnsi="Times New Roman"/>
          <w:b w:val="0"/>
          <w:color w:val="000000"/>
          <w:sz w:val="22"/>
        </w:rPr>
        <w:t xml:space="preserve">Of 1098 cases, 723 (65.8%) showed no omental involvement, 329 (30.0%) had grossly evident (macroscopic) disease, and 46 (4.2%) had a microscopically detected occult focus (&lt;0.5 cm). </w:t>
      </w:r>
      <w:r>
        <w:rPr>
          <w:rFonts w:ascii="Times New Roman" w:hAnsi="Times New Roman"/>
          <w:b w:val="0"/>
          <w:color w:val="FF0000"/>
          <w:sz w:val="22"/>
        </w:rPr>
        <w:t>Among these 46 cases, 43 (93.5%) were high-grade carcinomas (including one low-grade serous carcinoma) and 3 (6.5%) were serous borderline tumors; no low-grade endometrioid carcinoma showed an occult focus. The re-measured occult foci ranged from 0.1 to 0.5 cm (median, 0.15 cm), and the omentum was the sole stage-defining specimen in 24 of 46 cases (52.2%).</w:t>
      </w:r>
      <w:r>
        <w:rPr>
          <w:rFonts w:ascii="Times New Roman" w:hAnsi="Times New Roman"/>
          <w:b w:val="0"/>
          <w:color w:val="000000"/>
          <w:sz w:val="22"/>
        </w:rPr>
        <w:t xml:space="preserve"> The occult focus was found in the first cassette in 52.2% of cases and in the second in 26.1%; the mean cassette number at first detection was 1.87. Bootstrapping with 10 000 iterations estimated the per-cassette detection probability as 53.9%. Cumulative detection rose with cassette number, reaching 95.5% with 4 cassettes and 99.6% with 7. By primary site, the mean first-detection cassette was 2.2 for endometrial and 1.78 for tubo-ovarian carcinomas, with no significant difference (Mann-Whitney U test, </w:t>
      </w:r>
      <w:r>
        <w:rPr>
          <w:rFonts w:ascii="Times New Roman" w:hAnsi="Times New Roman"/>
          <w:b w:val="0"/>
          <w:color w:val="000000"/>
          <w:sz w:val="22"/>
        </w:rPr>
        <w:t>p</w:t>
      </w:r>
      <w:r>
        <w:rPr>
          <w:rFonts w:ascii="Times New Roman" w:hAnsi="Times New Roman"/>
          <w:b w:val="0"/>
          <w:color w:val="000000"/>
          <w:sz w:val="22"/>
        </w:rPr>
        <w:t>=0.495).</w:t>
      </w:r>
    </w:p>
    <w:p>
      <w:pPr>
        <w:spacing w:after="120" w:line="480" w:lineRule="auto"/>
        <w:ind w:firstLine="360"/>
      </w:pPr>
      <w:r>
        <w:rPr>
          <w:rFonts w:ascii="Times New Roman" w:hAnsi="Times New Roman"/>
          <w:b/>
          <w:color w:val="000000"/>
          <w:sz w:val="22"/>
        </w:rPr>
        <w:t>Conclusions</w:t>
      </w:r>
      <w:r>
        <w:rPr>
          <w:rFonts w:ascii="Times New Roman" w:hAnsi="Times New Roman"/>
          <w:b/>
          <w:color w:val="000000"/>
          <w:sz w:val="22"/>
        </w:rPr>
        <w:t xml:space="preserve"> — </w:t>
      </w:r>
      <w:r>
        <w:rPr>
          <w:rFonts w:ascii="Times New Roman" w:hAnsi="Times New Roman"/>
          <w:b w:val="0"/>
          <w:color w:val="000000"/>
          <w:sz w:val="22"/>
        </w:rPr>
        <w:t>A greater extent of omental sampling is associated with improved detection of microscopic metastases. Our data suggest that sampling at least 4 tissue blocks from grossly normal-appearing omentum achieves greater than 95% sensitivity, providing a balance between diagnostic yield and workflow considerations; because each additional block still lowers the residual miss rate, more extensive sampling remains warranted when accurate staging is critical.</w:t>
      </w:r>
    </w:p>
    <w:p>
      <w:pPr>
        <w:spacing w:after="120" w:line="480" w:lineRule="auto"/>
      </w:pPr>
      <w:r>
        <w:rPr>
          <w:rFonts w:ascii="Times New Roman" w:hAnsi="Times New Roman"/>
          <w:b w:val="0"/>
          <w:color w:val="000000"/>
          <w:sz w:val="22"/>
        </w:rPr>
        <w:t>Keywords: Omentum, occult metastasis, sampling, tubo-ovarian carcinoma, endometrial carcinoma, diagnostic sensitivity</w:t>
      </w:r>
    </w:p>
    <w:p>
      <w:pPr>
        <w:spacing w:after="120" w:line="480" w:lineRule="auto"/>
        <w:jc w:val="center"/>
      </w:pPr>
      <w:r>
        <w:rPr>
          <w:rFonts w:ascii="Times New Roman" w:hAnsi="Times New Roman"/>
          <w:b/>
          <w:color w:val="000000"/>
          <w:sz w:val="26"/>
        </w:rPr>
        <w:t>INTRODUCTION</w:t>
      </w:r>
    </w:p>
    <w:p>
      <w:pPr>
        <w:spacing w:after="120" w:line="480" w:lineRule="auto"/>
      </w:pPr>
      <w:r>
        <w:rPr>
          <w:rFonts w:ascii="Times New Roman" w:hAnsi="Times New Roman"/>
          <w:b w:val="0"/>
          <w:color w:val="000000"/>
          <w:sz w:val="22"/>
        </w:rPr>
        <w:t>Omental involvement is one of the fundamental factors determining staging, prognosis, and treatment decisions, particularly in ovarian and endometrial carcinomas. In endometrial carcinoma, the presence of omental metastasis is associated with significantly decreased overall survival and classifies the disease as FIGO stage IVB. Additionally, omental involvement correlates with other adverse clinicopathologic features including deep myometrial invasion, high tumor grade, non-endometrioid histology, lymph node metastasis, and adnexal involvement (1, 2). Therefore, accurate detection of omental disease, including microscopic metastases, is of great clinical importance.</w:t>
      </w:r>
    </w:p>
    <w:p>
      <w:pPr>
        <w:spacing w:after="120" w:line="480" w:lineRule="auto"/>
      </w:pPr>
      <w:r>
        <w:rPr>
          <w:rFonts w:ascii="Times New Roman" w:hAnsi="Times New Roman"/>
          <w:b w:val="0"/>
          <w:color w:val="000000"/>
          <w:sz w:val="22"/>
        </w:rPr>
        <w:t>In tubo-ovarian carcinoma, the omentum is a frequent site of metastasis. The observation that removal of macroscopically involved omentum results in better clinical outcomes led to omentectomy becoming a routine part of surgical staging procedures in the 1960s (3). Although the precise biological role of the omentum in tumor dissemination has not been fully elucidated, the presence of occult omental metastases even in apparently early-stage disease has historically justified the inclusion of omentectomy in surgery for accurate staging. However, the extent of pathologic sampling required to reliably detect microscopic omental involvement remains controversial.</w:t>
      </w:r>
    </w:p>
    <w:p>
      <w:pPr>
        <w:spacing w:after="120" w:line="480" w:lineRule="auto"/>
      </w:pPr>
      <w:r>
        <w:rPr>
          <w:rFonts w:ascii="Times New Roman" w:hAnsi="Times New Roman"/>
          <w:b w:val="0"/>
          <w:color w:val="000000"/>
          <w:sz w:val="22"/>
        </w:rPr>
        <w:t xml:space="preserve">In this study we use the term </w:t>
      </w:r>
      <w:r>
        <w:rPr>
          <w:rFonts w:ascii="Times New Roman" w:hAnsi="Times New Roman"/>
          <w:b w:val="0"/>
          <w:color w:val="FF0000"/>
          <w:sz w:val="22"/>
        </w:rPr>
        <w:t>microscopically detected (occult) omental metastasis to denote a metastatic focus that is not identified on gross examination or palpation and is instead found only on histologic review; for the purpose of a reproducible size criterion we defined such a focus as measuring less than 0.5 cm. We avoid the term "micrometastasis" because in gynecologic pathology it has a distinct, size-specific meaning in the context of lymph node staging (a focus larger than 0.2 cm but not exceeding 0.2 cm as isolated tumor cells, up to 0.2 cm), and applying it to omental deposits could cause confusion. The 0.5-cm threshold was chosen pragmatically: it approximates the lower limit of what can be reliably appreciated on gross inspection and palpation of the omentum, so that foci below it are, in practice, the ones that depend on histologic sampling for detection. We did not test alternative thresholds; the cutoff is intended as an operational definition of grossly occult disease rather than a biologically derived boundary.</w:t>
      </w:r>
    </w:p>
    <w:p>
      <w:pPr>
        <w:spacing w:after="120" w:line="480" w:lineRule="auto"/>
      </w:pPr>
      <w:r>
        <w:rPr>
          <w:rFonts w:ascii="Times New Roman" w:hAnsi="Times New Roman"/>
          <w:b w:val="0"/>
          <w:color w:val="000000"/>
          <w:sz w:val="22"/>
        </w:rPr>
        <w:t>Current guidelines and practice-based recommendations show marked variation regarding omental sampling (4). When grossly evident tumor is present, limited representative sampling is generally considered adequate (5). In contrast, for grossly normal-appearing omentum, recommended block numbers vary widely, ranging from two to four blocks based on current practice (1) to five to ten blocks in certain pathology protocols (6). However, these recommendations are largely based on expert opinion or limited model studies rather than robust outcome-based evidence. Indeed, one model study demonstrated that examination of five omental blocks yielded 82% sensitivity in detecting microscopic metastases, while increasing the block number to ten raised sensitivity to approximately 95% (6, 7). These findings clearly illustrate the potential impact of sampling extent on diagnostic sensitivity.</w:t>
      </w:r>
    </w:p>
    <w:p>
      <w:pPr>
        <w:spacing w:after="120" w:line="480" w:lineRule="auto"/>
      </w:pPr>
      <w:r>
        <w:rPr>
          <w:rFonts w:ascii="Times New Roman" w:hAnsi="Times New Roman"/>
          <w:b w:val="0"/>
          <w:color w:val="000000"/>
          <w:sz w:val="22"/>
        </w:rPr>
        <w:t>Conflicting data exist in the literature regarding the adequacy of omental sampling. Some large retrospective series have suggested that submission of one or two blocks from the omentum does not significantly reduce metastasis detection rates compared to more extensive sampling (8, 9). In contrast, studies specifically examining staging-negative and macroscopically normal omentum have emphasized that limited sampling may miss microscopic disease (5). Furthermore, the more limited sampling recommended for patients receiving neoadjuvant chemotherapy (four to six blocks) is primarily aimed at assessing treatment response and does not target maximal sensitivity for detecting microscopic metastases (6). This reflects the heterogeneity of clinical contexts in which omental sampling is performed.</w:t>
      </w:r>
    </w:p>
    <w:p>
      <w:pPr>
        <w:spacing w:after="120" w:line="480" w:lineRule="auto"/>
      </w:pPr>
      <w:r>
        <w:rPr>
          <w:rFonts w:ascii="Times New Roman" w:hAnsi="Times New Roman"/>
          <w:b w:val="0"/>
          <w:color w:val="000000"/>
          <w:sz w:val="22"/>
        </w:rPr>
        <w:t>The significant prognostic importance of microscopic omental involvement, particularly in high-risk endometrial carcinomas, combined with the lack of clear consensus in the literature regarding omental sampling, highlights the need for studies based on real-world data. In this study, we retrospectively evaluated the relationship between omental sampling extent and detection of microscopic metastases in a large cohort of patients with ovarian and endometrial carcinoma.</w:t>
      </w:r>
    </w:p>
    <w:p>
      <w:pPr>
        <w:spacing w:after="120" w:line="480" w:lineRule="auto"/>
        <w:jc w:val="center"/>
      </w:pPr>
      <w:r>
        <w:rPr>
          <w:rFonts w:ascii="Times New Roman" w:hAnsi="Times New Roman"/>
          <w:b/>
          <w:color w:val="000000"/>
          <w:sz w:val="26"/>
        </w:rPr>
        <w:t>MATERIALS AND METHODS</w:t>
      </w:r>
    </w:p>
    <w:p>
      <w:pPr>
        <w:spacing w:after="120" w:line="480" w:lineRule="auto"/>
        <w:ind w:firstLine="360"/>
      </w:pPr>
      <w:r>
        <w:rPr>
          <w:rFonts w:ascii="Times New Roman" w:hAnsi="Times New Roman"/>
          <w:b/>
          <w:color w:val="000000"/>
          <w:sz w:val="22"/>
        </w:rPr>
        <w:t>Study Cohort</w:t>
      </w:r>
      <w:r>
        <w:rPr>
          <w:rFonts w:ascii="Times New Roman" w:hAnsi="Times New Roman"/>
          <w:b/>
          <w:color w:val="000000"/>
          <w:sz w:val="22"/>
        </w:rPr>
        <w:t xml:space="preserve"> — </w:t>
      </w:r>
      <w:r>
        <w:rPr>
          <w:rFonts w:ascii="Times New Roman" w:hAnsi="Times New Roman"/>
          <w:b w:val="0"/>
          <w:color w:val="000000"/>
          <w:sz w:val="22"/>
        </w:rPr>
        <w:t xml:space="preserve">Our study included </w:t>
      </w:r>
      <w:r>
        <w:rPr>
          <w:rFonts w:ascii="Times New Roman" w:hAnsi="Times New Roman"/>
          <w:b w:val="0"/>
          <w:color w:val="FF0000"/>
          <w:sz w:val="22"/>
        </w:rPr>
        <w:t>1098 patients who underwent omental sampling for a gynecologic malignancy at our department between 2014 and 2023; of these, 1071 had a carcinoma and 27 had a serous borderline tumor.</w:t>
      </w:r>
      <w:r>
        <w:rPr>
          <w:rFonts w:ascii="Times New Roman" w:hAnsi="Times New Roman"/>
          <w:b w:val="0"/>
          <w:color w:val="000000"/>
          <w:sz w:val="22"/>
        </w:rPr>
        <w:t xml:space="preserve"> All cases were evaluated for age, primary tumor location, histologic subtype, chemotherapy status, presence of macroscopic omental disease, </w:t>
      </w:r>
      <w:r>
        <w:rPr>
          <w:rFonts w:ascii="Times New Roman" w:hAnsi="Times New Roman"/>
          <w:b w:val="0"/>
          <w:color w:val="FF0000"/>
          <w:sz w:val="22"/>
        </w:rPr>
        <w:t>presence of a microscopically detected (occult) omental focus (defined as &lt;0.5 cm; see Introduction),</w:t>
      </w:r>
      <w:r>
        <w:rPr>
          <w:rFonts w:ascii="Times New Roman" w:hAnsi="Times New Roman"/>
          <w:b w:val="0"/>
          <w:color w:val="000000"/>
          <w:sz w:val="22"/>
        </w:rPr>
        <w:t xml:space="preserve"> the number of blocks sampled, and the block number in which the focus was first detected. </w:t>
      </w:r>
      <w:r>
        <w:rPr>
          <w:rFonts w:ascii="Times New Roman" w:hAnsi="Times New Roman"/>
          <w:b w:val="0"/>
          <w:color w:val="FF0000"/>
          <w:sz w:val="22"/>
        </w:rPr>
        <w:t xml:space="preserve">For every case the omentum submitted for histologic review had been described as grossly unremarkable, without a discrete mass or nodule; in the 46 occult-focus cases the archived gross descriptions were re-checked to confirm that no macroscopic lesion had been recorded. </w:t>
      </w:r>
      <w:r>
        <w:rPr>
          <w:rFonts w:ascii="Times New Roman" w:hAnsi="Times New Roman"/>
          <w:b w:val="0"/>
          <w:color w:val="000000"/>
          <w:sz w:val="22"/>
        </w:rPr>
        <w:t xml:space="preserve">In addition to histologic subtype, tumors were classified by grade as low-grade (grade 1 and 2 endometrioid carcinoma), high-grade, or serous borderline tumor. </w:t>
      </w:r>
      <w:r>
        <w:rPr>
          <w:rFonts w:ascii="Times New Roman" w:hAnsi="Times New Roman"/>
          <w:b w:val="0"/>
          <w:color w:val="FF0000"/>
          <w:sz w:val="22"/>
        </w:rPr>
        <w:t xml:space="preserve">Because "high-grade" encompasses several histologic types with potentially differing metastatic propensity, the actual histologic diagnoses are provided disaggregated by primary site in Table 1. Low-grade serous carcinoma of the ovary, which is biologically low-grade but is a recognized indication for omental staging, was analyzed within the high-grade category for grade-based comparisons and is identified separately where relevant. </w:t>
      </w:r>
      <w:r>
        <w:rPr>
          <w:rFonts w:ascii="Times New Roman" w:hAnsi="Times New Roman"/>
          <w:b w:val="0"/>
          <w:color w:val="000000"/>
          <w:sz w:val="22"/>
        </w:rPr>
        <w:t xml:space="preserve">Omental sampling in all cases was performed using a combination of inspection and palpation. Survival data were excluded from this study. </w:t>
      </w:r>
      <w:r>
        <w:rPr>
          <w:rFonts w:ascii="Times New Roman" w:hAnsi="Times New Roman"/>
          <w:b w:val="0"/>
          <w:color w:val="FF0000"/>
          <w:sz w:val="22"/>
        </w:rPr>
        <w:t>For patients with an occult focus, the archived slides were retrieved and re-reviewed, and the greatest dimension of the metastatic focus was measured on the glass slide.</w:t>
      </w:r>
    </w:p>
    <w:p>
      <w:pPr>
        <w:spacing w:after="120" w:line="480" w:lineRule="auto"/>
        <w:ind w:firstLine="360"/>
      </w:pPr>
      <w:r>
        <w:rPr>
          <w:rFonts w:ascii="Times New Roman" w:hAnsi="Times New Roman"/>
          <w:b/>
          <w:color w:val="000000"/>
          <w:sz w:val="22"/>
        </w:rPr>
        <w:t>Definition of Tracking Data</w:t>
      </w:r>
      <w:r>
        <w:rPr>
          <w:rFonts w:ascii="Times New Roman" w:hAnsi="Times New Roman"/>
          <w:b/>
          <w:color w:val="000000"/>
          <w:sz w:val="22"/>
        </w:rPr>
        <w:t xml:space="preserve"> — </w:t>
      </w:r>
      <w:r>
        <w:rPr>
          <w:rFonts w:ascii="Times New Roman" w:hAnsi="Times New Roman"/>
          <w:b w:val="0"/>
          <w:color w:val="FF0000"/>
          <w:sz w:val="22"/>
        </w:rPr>
        <w:t>For each specimen, our laboratory records the cassette-by-cassette origin of the omental sections and, when an occult focus is identified, the specific block in which it is first seen. In routine practice omental cassettes are submitted and numbered sequentially, and the reporting pathologist notes the first block containing tumor; we refer to this recorded first-positive block number as the "tracking data." This documentation practice was in place throughout the 2014-2023 study period, which allowed the first-detection cassette to be ascertained for all 46 occult-focus cases.</w:t>
      </w:r>
    </w:p>
    <w:p>
      <w:pPr>
        <w:spacing w:after="120" w:line="480" w:lineRule="auto"/>
        <w:ind w:firstLine="360"/>
      </w:pPr>
      <w:r>
        <w:rPr>
          <w:rFonts w:ascii="Times New Roman" w:hAnsi="Times New Roman"/>
          <w:b/>
          <w:color w:val="000000"/>
          <w:sz w:val="22"/>
        </w:rPr>
        <w:t>Statistical Analysis</w:t>
      </w:r>
      <w:r>
        <w:rPr>
          <w:rFonts w:ascii="Times New Roman" w:hAnsi="Times New Roman"/>
          <w:b/>
          <w:color w:val="000000"/>
          <w:sz w:val="22"/>
        </w:rPr>
        <w:t xml:space="preserve"> — </w:t>
      </w:r>
      <w:r>
        <w:rPr>
          <w:rFonts w:ascii="Times New Roman" w:hAnsi="Times New Roman"/>
          <w:b w:val="0"/>
          <w:color w:val="000000"/>
          <w:sz w:val="22"/>
        </w:rPr>
        <w:t xml:space="preserve">Descriptive statistics were presented as mean ± standard deviation for continuous variables and as frequencies and percentages for categorical variables. Comparison of the first-detection cassette between endometrial and tubo-ovarian primary tumors was performed using </w:t>
      </w:r>
      <w:r>
        <w:rPr>
          <w:rFonts w:ascii="Times New Roman" w:hAnsi="Times New Roman"/>
          <w:b w:val="0"/>
          <w:color w:val="FF0000"/>
          <w:sz w:val="22"/>
        </w:rPr>
        <w:t>the Mann-Whitney U test, as the data were right-skewed with small subgroup sizes, with the rank-biserial correlation as the effect-size measure. Metastasis rates between chemonaive and post-neoadjuvant-chemotherapy cases were compared with the chi-square test.</w:t>
      </w:r>
      <w:r>
        <w:rPr>
          <w:rFonts w:ascii="Times New Roman" w:hAnsi="Times New Roman"/>
          <w:b w:val="0"/>
          <w:color w:val="000000"/>
          <w:sz w:val="22"/>
        </w:rPr>
        <w:t xml:space="preserve"> A </w:t>
      </w:r>
      <w:r>
        <w:rPr>
          <w:rFonts w:ascii="Times New Roman" w:hAnsi="Times New Roman"/>
          <w:b w:val="0"/>
          <w:color w:val="000000"/>
          <w:sz w:val="22"/>
        </w:rPr>
        <w:t>p</w:t>
      </w:r>
      <w:r>
        <w:rPr>
          <w:rFonts w:ascii="Times New Roman" w:hAnsi="Times New Roman"/>
          <w:b w:val="0"/>
          <w:color w:val="000000"/>
          <w:sz w:val="22"/>
        </w:rPr>
        <w:t xml:space="preserve"> value less than .05 was considered statistically significant. Differences across tumor burden strata were assessed using the Kruskal-Wallis test.</w:t>
      </w:r>
    </w:p>
    <w:p>
      <w:pPr>
        <w:spacing w:after="120" w:line="480" w:lineRule="auto"/>
        <w:ind w:firstLine="360"/>
      </w:pPr>
      <w:r>
        <w:rPr>
          <w:rFonts w:ascii="Times New Roman" w:hAnsi="Times New Roman"/>
          <w:b/>
          <w:color w:val="000000"/>
          <w:sz w:val="22"/>
        </w:rPr>
        <w:t>Detection Probability Estimation</w:t>
      </w:r>
      <w:r>
        <w:rPr>
          <w:rFonts w:ascii="Times New Roman" w:hAnsi="Times New Roman"/>
          <w:b/>
          <w:color w:val="000000"/>
          <w:sz w:val="22"/>
        </w:rPr>
        <w:t xml:space="preserve"> — </w:t>
      </w:r>
      <w:r>
        <w:rPr>
          <w:rFonts w:ascii="Times New Roman" w:hAnsi="Times New Roman"/>
          <w:b w:val="0"/>
          <w:color w:val="000000"/>
          <w:sz w:val="22"/>
        </w:rPr>
        <w:t>The per-cassette detection probability (q) was estimated using two complementary approaches. First, a geometric maximum likelihood estimate (MLE) estimated q as the reciprocal of the mean first-detection cassette number (q = 1/k̄), modeling first-detection times under a geometric framework in which the probability of first detecting tumor in cassette k is P(k) = (1−q)^(k−1) × q. Second, as a validation analysis, we calculated the empirical proportion of positive cassettes across all examined cassettes, which uses all cassette data rather than only first-detection information.</w:t>
      </w:r>
    </w:p>
    <w:p>
      <w:pPr>
        <w:spacing w:after="120" w:line="480" w:lineRule="auto"/>
        <w:ind w:firstLine="360"/>
      </w:pPr>
      <w:r>
        <w:rPr>
          <w:rFonts w:ascii="Times New Roman" w:hAnsi="Times New Roman"/>
          <w:b/>
          <w:color w:val="000000"/>
          <w:sz w:val="22"/>
        </w:rPr>
        <w:t>Cumulative Detection Probability</w:t>
      </w:r>
      <w:r>
        <w:rPr>
          <w:rFonts w:ascii="Times New Roman" w:hAnsi="Times New Roman"/>
          <w:b/>
          <w:color w:val="000000"/>
          <w:sz w:val="22"/>
        </w:rPr>
        <w:t xml:space="preserve"> — </w:t>
      </w:r>
      <w:r>
        <w:rPr>
          <w:rFonts w:ascii="Times New Roman" w:hAnsi="Times New Roman"/>
          <w:b w:val="0"/>
          <w:color w:val="000000"/>
          <w:sz w:val="22"/>
        </w:rPr>
        <w:t>For both approaches, the cumulative detection probability for sampling n cassettes was calculated as P(detect ≤ n) = 1 − (1−q)^n, representing the probability of detecting at least one positive cassette when examining n cassettes, assuming each cassette has independent detection probability q.</w:t>
      </w:r>
    </w:p>
    <w:p>
      <w:pPr>
        <w:spacing w:after="120" w:line="480" w:lineRule="auto"/>
        <w:ind w:firstLine="360"/>
      </w:pPr>
      <w:r>
        <w:rPr>
          <w:rFonts w:ascii="Times New Roman" w:hAnsi="Times New Roman"/>
          <w:b/>
          <w:color w:val="000000"/>
          <w:sz w:val="22"/>
        </w:rPr>
        <w:t>Confidence Intervals and Bootstrap Methodology</w:t>
      </w:r>
      <w:r>
        <w:rPr>
          <w:rFonts w:ascii="Times New Roman" w:hAnsi="Times New Roman"/>
          <w:b/>
          <w:color w:val="000000"/>
          <w:sz w:val="22"/>
        </w:rPr>
        <w:t xml:space="preserve"> — </w:t>
      </w:r>
      <w:r>
        <w:rPr>
          <w:rFonts w:ascii="Times New Roman" w:hAnsi="Times New Roman"/>
          <w:b w:val="0"/>
          <w:color w:val="000000"/>
          <w:sz w:val="22"/>
        </w:rPr>
        <w:t>Bootstrap resampling with 10 000 iterations was performed to estimate 95% confidence intervals. Cases were resampled with replacement and q recalculated for each bootstrap sample; the 2.5th and 97.5th percentiles defined the confidence intervals (percentile method). A fixed random seed (42) was used for reproducibility.</w:t>
      </w:r>
    </w:p>
    <w:p>
      <w:pPr>
        <w:spacing w:after="120" w:line="480" w:lineRule="auto"/>
        <w:ind w:firstLine="360"/>
      </w:pPr>
      <w:r>
        <w:rPr>
          <w:rFonts w:ascii="Times New Roman" w:hAnsi="Times New Roman"/>
          <w:b/>
          <w:color w:val="000000"/>
          <w:sz w:val="22"/>
        </w:rPr>
        <w:t>Heterogeneity and Stratified Analysis</w:t>
      </w:r>
      <w:r>
        <w:rPr>
          <w:rFonts w:ascii="Times New Roman" w:hAnsi="Times New Roman"/>
          <w:b/>
          <w:color w:val="000000"/>
          <w:sz w:val="22"/>
        </w:rPr>
        <w:t xml:space="preserve"> — </w:t>
      </w:r>
      <w:r>
        <w:rPr>
          <w:rFonts w:ascii="Times New Roman" w:hAnsi="Times New Roman"/>
          <w:b w:val="0"/>
          <w:color w:val="000000"/>
          <w:sz w:val="22"/>
        </w:rPr>
        <w:t>Heterogeneity across cases was assessed using the coefficient of variation (CV) of per-case positivity rates (positive blocks / total blocks examined; CV &lt;0.30 low, 0.30-0.60 moderate, &gt;0.60 high). Cases were also stratified by tumor burden, defined as the number of blocks containing tumor: low (1 block), medium (2-3 blocks), and high (4+ blocks).</w:t>
      </w:r>
    </w:p>
    <w:p>
      <w:pPr>
        <w:spacing w:after="120" w:line="480" w:lineRule="auto"/>
        <w:ind w:firstLine="360"/>
      </w:pPr>
      <w:r>
        <w:rPr>
          <w:rFonts w:ascii="Times New Roman" w:hAnsi="Times New Roman"/>
          <w:b/>
          <w:color w:val="000000"/>
          <w:sz w:val="22"/>
        </w:rPr>
        <w:t>Model Assumptions</w:t>
      </w:r>
      <w:r>
        <w:rPr>
          <w:rFonts w:ascii="Times New Roman" w:hAnsi="Times New Roman"/>
          <w:b/>
          <w:color w:val="000000"/>
          <w:sz w:val="22"/>
        </w:rPr>
        <w:t xml:space="preserve"> — </w:t>
      </w:r>
      <w:r>
        <w:rPr>
          <w:rFonts w:ascii="Times New Roman" w:hAnsi="Times New Roman"/>
          <w:b w:val="0"/>
          <w:color w:val="000000"/>
          <w:sz w:val="22"/>
        </w:rPr>
        <w:t xml:space="preserve">The geometric model assumes (1) independence — each cassette represents independent sampling from the omentum; (2) constant probability — all cassettes share the same detection probability q; and (3) a binary outcome per cassette. </w:t>
      </w:r>
      <w:r>
        <w:rPr>
          <w:rFonts w:ascii="Times New Roman" w:hAnsi="Times New Roman"/>
          <w:b w:val="0"/>
          <w:color w:val="FF0000"/>
          <w:sz w:val="22"/>
        </w:rPr>
        <w:t xml:space="preserve">Because the omentum appears grossly normal, the pathologist has no visual cue to preferentially sample specific regions, so each cassette approximates a blind draw from a macroscopically homogeneous specimen; the independence assumption therefore applies to the sampling process, not to the underlying disease distribution. We recognize that in routine grossing a prosector may nonetheless submit tissue that feels subtly firmer or more fibrotic even when the gross description records no discrete lesion, which could raise the apparent yield of the first few blocks; this potential for informal targeting is addressed in the Discussion. </w:t>
      </w:r>
      <w:r>
        <w:rPr>
          <w:rFonts w:ascii="Times New Roman" w:hAnsi="Times New Roman"/>
          <w:b w:val="0"/>
          <w:color w:val="000000"/>
          <w:sz w:val="22"/>
        </w:rPr>
        <w:t>As a sensitivity analysis, we also fitted a beta-binomial model using the method of moments to account for inter-case heterogeneity in detection probability.</w:t>
      </w:r>
    </w:p>
    <w:p>
      <w:pPr>
        <w:spacing w:after="120" w:line="480" w:lineRule="auto"/>
        <w:ind w:firstLine="360"/>
      </w:pPr>
      <w:r>
        <w:rPr>
          <w:rFonts w:ascii="Times New Roman" w:hAnsi="Times New Roman"/>
          <w:b/>
          <w:color w:val="000000"/>
          <w:sz w:val="22"/>
        </w:rPr>
        <w:t>Statistical Software</w:t>
      </w:r>
      <w:r>
        <w:rPr>
          <w:rFonts w:ascii="Times New Roman" w:hAnsi="Times New Roman"/>
          <w:b/>
          <w:color w:val="000000"/>
          <w:sz w:val="22"/>
        </w:rPr>
        <w:t xml:space="preserve"> — </w:t>
      </w:r>
      <w:r>
        <w:rPr>
          <w:rFonts w:ascii="Times New Roman" w:hAnsi="Times New Roman"/>
          <w:b w:val="0"/>
          <w:color w:val="000000"/>
          <w:sz w:val="22"/>
        </w:rPr>
        <w:t>All statistical analyses were performed using R software (version 4.5.1). Custom functions were developed for sampling analysis, bootstrap simulation, and heterogeneity assessment.</w:t>
      </w:r>
    </w:p>
    <w:p>
      <w:pPr>
        <w:spacing w:after="120" w:line="480" w:lineRule="auto"/>
        <w:ind w:firstLine="360"/>
      </w:pPr>
      <w:r>
        <w:rPr>
          <w:rFonts w:ascii="Times New Roman" w:hAnsi="Times New Roman"/>
          <w:b/>
          <w:color w:val="000000"/>
          <w:sz w:val="22"/>
        </w:rPr>
        <w:t>Ethical Approval</w:t>
      </w:r>
      <w:r>
        <w:rPr>
          <w:rFonts w:ascii="Times New Roman" w:hAnsi="Times New Roman"/>
          <w:b/>
          <w:color w:val="000000"/>
          <w:sz w:val="22"/>
        </w:rPr>
        <w:t xml:space="preserve"> — </w:t>
      </w:r>
      <w:r>
        <w:rPr>
          <w:rFonts w:ascii="Times New Roman" w:hAnsi="Times New Roman"/>
          <w:b w:val="0"/>
          <w:color w:val="000000"/>
          <w:sz w:val="22"/>
        </w:rPr>
        <w:t>This study was approved by the institutional ethics committee (Hacettepe University, SBA 24/523). Due to the retrospective nature of the study, the requirement for informed consent was waived.</w:t>
      </w:r>
    </w:p>
    <w:p>
      <w:pPr>
        <w:spacing w:after="120" w:line="480" w:lineRule="auto"/>
        <w:jc w:val="center"/>
      </w:pPr>
      <w:r>
        <w:rPr>
          <w:rFonts w:ascii="Times New Roman" w:hAnsi="Times New Roman"/>
          <w:b/>
          <w:color w:val="000000"/>
          <w:sz w:val="26"/>
        </w:rPr>
        <w:t>RESULTS</w:t>
      </w:r>
    </w:p>
    <w:p>
      <w:pPr>
        <w:spacing w:after="120" w:line="480" w:lineRule="auto"/>
        <w:jc w:val="center"/>
      </w:pPr>
      <w:r>
        <w:rPr>
          <w:rFonts w:ascii="Times New Roman" w:hAnsi="Times New Roman"/>
          <w:b/>
          <w:color w:val="000000"/>
          <w:sz w:val="24"/>
        </w:rPr>
        <w:t>Overall Cohort Characteristics</w:t>
      </w:r>
    </w:p>
    <w:p>
      <w:pPr>
        <w:spacing w:after="120" w:line="480" w:lineRule="auto"/>
      </w:pPr>
      <w:r>
        <w:rPr>
          <w:rFonts w:ascii="Times New Roman" w:hAnsi="Times New Roman"/>
          <w:b w:val="0"/>
          <w:color w:val="000000"/>
          <w:sz w:val="22"/>
        </w:rPr>
        <w:t xml:space="preserve">The mean age of the 1098 patients was 58.9 ± 11.5 years (median, 59 years; interquartile range, 51-67 years). Primary tumor locations were 591 (53.8%) endometrial carcinomas, 497 (45.3%) tubo-ovarian carcinomas, and 8 (0.7%) synchronous endometrial and ovarian tumors </w:t>
      </w:r>
      <w:r>
        <w:rPr>
          <w:rFonts w:ascii="Times New Roman" w:hAnsi="Times New Roman"/>
          <w:b w:val="0"/>
          <w:color w:val="FF0000"/>
          <w:sz w:val="22"/>
        </w:rPr>
        <w:t>(two additional cases had an unspecified primary site). Of the 1098 patients, 1071 had a carcinoma and 27 (2.5%) had a serous borderline tumor. By grade, 368 (33.5%) were low-grade (grade 1-2 endometrioid) carcinomas, 692 (63.0%) were high-grade, and 27 (2.5%) were serous borderline tumors.</w:t>
      </w:r>
    </w:p>
    <w:p>
      <w:pPr>
        <w:spacing w:after="120" w:line="480" w:lineRule="auto"/>
      </w:pPr>
      <w:r>
        <w:rPr>
          <w:rFonts w:ascii="Times New Roman" w:hAnsi="Times New Roman"/>
          <w:b w:val="0"/>
          <w:color w:val="FF0000"/>
          <w:sz w:val="22"/>
        </w:rPr>
        <w:t>The histologic diagnoses disaggregated by primary site are shown in Table 1. High-grade serous carcinoma was the dominant tubo-ovarian type (383 of 497; 77.1%), whereas endometrial tumors were mostly low-grade endometrioid carcinoma (349 of 591; 59.1%). Seven low-grade serous carcinomas of the ovary were present; because their behavior differs from that of high-grade histotypes, they are itemized separately in Table 1 although they were grouped with high-grade tumors for grade-based analyses. All 27 serous borderline tumors and all 14 mucinous carcinomas were of tubo-ovarian origin.</w:t>
      </w:r>
    </w:p>
    <w:tbl>
      <w:tblPr>
        <w:tblStyle w:val="TableGrid"/>
        <w:tblW w:type="auto" w:w="0"/>
        <w:tblLook w:firstColumn="1" w:firstRow="1" w:lastColumn="0" w:lastRow="0" w:noHBand="0" w:noVBand="1" w:val="04A0"/>
      </w:tblPr>
      <w:tblGrid>
        <w:gridCol w:w="2880"/>
        <w:gridCol w:w="2880"/>
        <w:gridCol w:w="2880"/>
      </w:tblGrid>
      <w:tr>
        <w:tc>
          <w:tcPr>
            <w:tcW w:type="dxa" w:w="2880"/>
          </w:tcPr>
          <w:p>
            <w:r/>
            <w:r>
              <w:rPr>
                <w:rFonts w:ascii="Times New Roman" w:hAnsi="Times New Roman"/>
                <w:b/>
                <w:color w:val="FF0000"/>
                <w:sz w:val="20"/>
              </w:rPr>
              <w:t>Histologic diagnosis</w:t>
            </w:r>
          </w:p>
        </w:tc>
        <w:tc>
          <w:tcPr>
            <w:tcW w:type="dxa" w:w="2880"/>
          </w:tcPr>
          <w:p>
            <w:r/>
            <w:r>
              <w:rPr>
                <w:rFonts w:ascii="Times New Roman" w:hAnsi="Times New Roman"/>
                <w:b/>
                <w:color w:val="FF0000"/>
                <w:sz w:val="20"/>
              </w:rPr>
              <w:t>Endometrial (n=591)</w:t>
            </w:r>
          </w:p>
        </w:tc>
        <w:tc>
          <w:tcPr>
            <w:tcW w:type="dxa" w:w="2880"/>
          </w:tcPr>
          <w:p>
            <w:r/>
            <w:r>
              <w:rPr>
                <w:rFonts w:ascii="Times New Roman" w:hAnsi="Times New Roman"/>
                <w:b/>
                <w:color w:val="FF0000"/>
                <w:sz w:val="20"/>
              </w:rPr>
              <w:t>Tubo-ovarian (n=497)</w:t>
            </w:r>
          </w:p>
        </w:tc>
      </w:tr>
      <w:tr>
        <w:tc>
          <w:tcPr>
            <w:tcW w:type="dxa" w:w="2880"/>
          </w:tcPr>
          <w:p>
            <w:r/>
            <w:r>
              <w:rPr>
                <w:rFonts w:ascii="Times New Roman" w:hAnsi="Times New Roman"/>
                <w:b w:val="0"/>
                <w:color w:val="FF0000"/>
                <w:sz w:val="20"/>
              </w:rPr>
              <w:t>High-grade serous carcinoma</w:t>
            </w:r>
          </w:p>
        </w:tc>
        <w:tc>
          <w:tcPr>
            <w:tcW w:type="dxa" w:w="2880"/>
          </w:tcPr>
          <w:p>
            <w:pPr>
              <w:jc w:val="center"/>
            </w:pPr>
            <w:r/>
            <w:r>
              <w:rPr>
                <w:rFonts w:ascii="Times New Roman" w:hAnsi="Times New Roman"/>
                <w:b w:val="0"/>
                <w:color w:val="FF0000"/>
                <w:sz w:val="20"/>
              </w:rPr>
              <w:t>82 (13.9%)</w:t>
            </w:r>
          </w:p>
        </w:tc>
        <w:tc>
          <w:tcPr>
            <w:tcW w:type="dxa" w:w="2880"/>
          </w:tcPr>
          <w:p>
            <w:pPr>
              <w:jc w:val="center"/>
            </w:pPr>
            <w:r/>
            <w:r>
              <w:rPr>
                <w:rFonts w:ascii="Times New Roman" w:hAnsi="Times New Roman"/>
                <w:b w:val="0"/>
                <w:color w:val="FF0000"/>
                <w:sz w:val="20"/>
              </w:rPr>
              <w:t>383 (77.1%)</w:t>
            </w:r>
          </w:p>
        </w:tc>
      </w:tr>
      <w:tr>
        <w:tc>
          <w:tcPr>
            <w:tcW w:type="dxa" w:w="2880"/>
          </w:tcPr>
          <w:p>
            <w:r/>
            <w:r>
              <w:rPr>
                <w:rFonts w:ascii="Times New Roman" w:hAnsi="Times New Roman"/>
                <w:b w:val="0"/>
                <w:color w:val="FF0000"/>
                <w:sz w:val="20"/>
              </w:rPr>
              <w:t>High-grade endometrioid carcinoma</w:t>
            </w:r>
          </w:p>
        </w:tc>
        <w:tc>
          <w:tcPr>
            <w:tcW w:type="dxa" w:w="2880"/>
          </w:tcPr>
          <w:p>
            <w:pPr>
              <w:jc w:val="center"/>
            </w:pPr>
            <w:r/>
            <w:r>
              <w:rPr>
                <w:rFonts w:ascii="Times New Roman" w:hAnsi="Times New Roman"/>
                <w:b w:val="0"/>
                <w:color w:val="FF0000"/>
                <w:sz w:val="20"/>
              </w:rPr>
              <w:t>67 (11.3%)</w:t>
            </w:r>
          </w:p>
        </w:tc>
        <w:tc>
          <w:tcPr>
            <w:tcW w:type="dxa" w:w="2880"/>
          </w:tcPr>
          <w:p>
            <w:pPr>
              <w:jc w:val="center"/>
            </w:pPr>
            <w:r/>
            <w:r>
              <w:rPr>
                <w:rFonts w:ascii="Times New Roman" w:hAnsi="Times New Roman"/>
                <w:b w:val="0"/>
                <w:color w:val="FF0000"/>
                <w:sz w:val="20"/>
              </w:rPr>
              <w:t>2 (0.4%)</w:t>
            </w:r>
          </w:p>
        </w:tc>
      </w:tr>
      <w:tr>
        <w:tc>
          <w:tcPr>
            <w:tcW w:type="dxa" w:w="2880"/>
          </w:tcPr>
          <w:p>
            <w:r/>
            <w:r>
              <w:rPr>
                <w:rFonts w:ascii="Times New Roman" w:hAnsi="Times New Roman"/>
                <w:b w:val="0"/>
                <w:color w:val="FF0000"/>
                <w:sz w:val="20"/>
              </w:rPr>
              <w:t>Clear cell carcinoma</w:t>
            </w:r>
          </w:p>
        </w:tc>
        <w:tc>
          <w:tcPr>
            <w:tcW w:type="dxa" w:w="2880"/>
          </w:tcPr>
          <w:p>
            <w:pPr>
              <w:jc w:val="center"/>
            </w:pPr>
            <w:r/>
            <w:r>
              <w:rPr>
                <w:rFonts w:ascii="Times New Roman" w:hAnsi="Times New Roman"/>
                <w:b w:val="0"/>
                <w:color w:val="FF0000"/>
                <w:sz w:val="20"/>
              </w:rPr>
              <w:t>18 (3.0%)</w:t>
            </w:r>
          </w:p>
        </w:tc>
        <w:tc>
          <w:tcPr>
            <w:tcW w:type="dxa" w:w="2880"/>
          </w:tcPr>
          <w:p>
            <w:pPr>
              <w:jc w:val="center"/>
            </w:pPr>
            <w:r/>
            <w:r>
              <w:rPr>
                <w:rFonts w:ascii="Times New Roman" w:hAnsi="Times New Roman"/>
                <w:b w:val="0"/>
                <w:color w:val="FF0000"/>
                <w:sz w:val="20"/>
              </w:rPr>
              <w:t>31 (6.2%)</w:t>
            </w:r>
          </w:p>
        </w:tc>
      </w:tr>
      <w:tr>
        <w:tc>
          <w:tcPr>
            <w:tcW w:type="dxa" w:w="2880"/>
          </w:tcPr>
          <w:p>
            <w:r/>
            <w:r>
              <w:rPr>
                <w:rFonts w:ascii="Times New Roman" w:hAnsi="Times New Roman"/>
                <w:b w:val="0"/>
                <w:color w:val="FF0000"/>
                <w:sz w:val="20"/>
              </w:rPr>
              <w:t>Carcinosarcoma</w:t>
            </w:r>
          </w:p>
        </w:tc>
        <w:tc>
          <w:tcPr>
            <w:tcW w:type="dxa" w:w="2880"/>
          </w:tcPr>
          <w:p>
            <w:pPr>
              <w:jc w:val="center"/>
            </w:pPr>
            <w:r/>
            <w:r>
              <w:rPr>
                <w:rFonts w:ascii="Times New Roman" w:hAnsi="Times New Roman"/>
                <w:b w:val="0"/>
                <w:color w:val="FF0000"/>
                <w:sz w:val="20"/>
              </w:rPr>
              <w:t>26 (4.4%)</w:t>
            </w:r>
          </w:p>
        </w:tc>
        <w:tc>
          <w:tcPr>
            <w:tcW w:type="dxa" w:w="2880"/>
          </w:tcPr>
          <w:p>
            <w:pPr>
              <w:jc w:val="center"/>
            </w:pPr>
            <w:r/>
            <w:r>
              <w:rPr>
                <w:rFonts w:ascii="Times New Roman" w:hAnsi="Times New Roman"/>
                <w:b w:val="0"/>
                <w:color w:val="FF0000"/>
                <w:sz w:val="20"/>
              </w:rPr>
              <w:t>11 (2.2%)</w:t>
            </w:r>
          </w:p>
        </w:tc>
      </w:tr>
      <w:tr>
        <w:tc>
          <w:tcPr>
            <w:tcW w:type="dxa" w:w="2880"/>
          </w:tcPr>
          <w:p>
            <w:r/>
            <w:r>
              <w:rPr>
                <w:rFonts w:ascii="Times New Roman" w:hAnsi="Times New Roman"/>
                <w:b w:val="0"/>
                <w:color w:val="FF0000"/>
                <w:sz w:val="20"/>
              </w:rPr>
              <w:t>Dedifferentiated/undifferentiated carcinoma</w:t>
            </w:r>
          </w:p>
        </w:tc>
        <w:tc>
          <w:tcPr>
            <w:tcW w:type="dxa" w:w="2880"/>
          </w:tcPr>
          <w:p>
            <w:pPr>
              <w:jc w:val="center"/>
            </w:pPr>
            <w:r/>
            <w:r>
              <w:rPr>
                <w:rFonts w:ascii="Times New Roman" w:hAnsi="Times New Roman"/>
                <w:b w:val="0"/>
                <w:color w:val="FF0000"/>
                <w:sz w:val="20"/>
              </w:rPr>
              <w:t>7 (1.2%)</w:t>
            </w:r>
          </w:p>
        </w:tc>
        <w:tc>
          <w:tcPr>
            <w:tcW w:type="dxa" w:w="2880"/>
          </w:tcPr>
          <w:p>
            <w:pPr>
              <w:jc w:val="center"/>
            </w:pPr>
            <w:r/>
            <w:r>
              <w:rPr>
                <w:rFonts w:ascii="Times New Roman" w:hAnsi="Times New Roman"/>
                <w:b w:val="0"/>
                <w:color w:val="FF0000"/>
                <w:sz w:val="20"/>
              </w:rPr>
              <w:t>0 (0.0%)</w:t>
            </w:r>
          </w:p>
        </w:tc>
      </w:tr>
      <w:tr>
        <w:tc>
          <w:tcPr>
            <w:tcW w:type="dxa" w:w="2880"/>
          </w:tcPr>
          <w:p>
            <w:r/>
            <w:r>
              <w:rPr>
                <w:rFonts w:ascii="Times New Roman" w:hAnsi="Times New Roman"/>
                <w:b w:val="0"/>
                <w:color w:val="FF0000"/>
                <w:sz w:val="20"/>
              </w:rPr>
              <w:t>Endometrioid carcinoma, NOS/mixed</w:t>
            </w:r>
          </w:p>
        </w:tc>
        <w:tc>
          <w:tcPr>
            <w:tcW w:type="dxa" w:w="2880"/>
          </w:tcPr>
          <w:p>
            <w:pPr>
              <w:jc w:val="center"/>
            </w:pPr>
            <w:r/>
            <w:r>
              <w:rPr>
                <w:rFonts w:ascii="Times New Roman" w:hAnsi="Times New Roman"/>
                <w:b w:val="0"/>
                <w:color w:val="FF0000"/>
                <w:sz w:val="20"/>
              </w:rPr>
              <w:t>12 (2.0%)</w:t>
            </w:r>
          </w:p>
        </w:tc>
        <w:tc>
          <w:tcPr>
            <w:tcW w:type="dxa" w:w="2880"/>
          </w:tcPr>
          <w:p>
            <w:pPr>
              <w:jc w:val="center"/>
            </w:pPr>
            <w:r/>
            <w:r>
              <w:rPr>
                <w:rFonts w:ascii="Times New Roman" w:hAnsi="Times New Roman"/>
                <w:b w:val="0"/>
                <w:color w:val="FF0000"/>
                <w:sz w:val="20"/>
              </w:rPr>
              <w:t>5 (1.0%)</w:t>
            </w:r>
          </w:p>
        </w:tc>
      </w:tr>
      <w:tr>
        <w:tc>
          <w:tcPr>
            <w:tcW w:type="dxa" w:w="2880"/>
          </w:tcPr>
          <w:p>
            <w:r/>
            <w:r>
              <w:rPr>
                <w:rFonts w:ascii="Times New Roman" w:hAnsi="Times New Roman"/>
                <w:b w:val="0"/>
                <w:color w:val="FF0000"/>
                <w:sz w:val="20"/>
              </w:rPr>
              <w:t>Mucinous carcinoma</w:t>
            </w:r>
          </w:p>
        </w:tc>
        <w:tc>
          <w:tcPr>
            <w:tcW w:type="dxa" w:w="2880"/>
          </w:tcPr>
          <w:p>
            <w:pPr>
              <w:jc w:val="center"/>
            </w:pPr>
            <w:r/>
            <w:r>
              <w:rPr>
                <w:rFonts w:ascii="Times New Roman" w:hAnsi="Times New Roman"/>
                <w:b w:val="0"/>
                <w:color w:val="FF0000"/>
                <w:sz w:val="20"/>
              </w:rPr>
              <w:t>0 (0.0%)</w:t>
            </w:r>
          </w:p>
        </w:tc>
        <w:tc>
          <w:tcPr>
            <w:tcW w:type="dxa" w:w="2880"/>
          </w:tcPr>
          <w:p>
            <w:pPr>
              <w:jc w:val="center"/>
            </w:pPr>
            <w:r/>
            <w:r>
              <w:rPr>
                <w:rFonts w:ascii="Times New Roman" w:hAnsi="Times New Roman"/>
                <w:b w:val="0"/>
                <w:color w:val="FF0000"/>
                <w:sz w:val="20"/>
              </w:rPr>
              <w:t>14 (2.8%)</w:t>
            </w:r>
          </w:p>
        </w:tc>
      </w:tr>
      <w:tr>
        <w:tc>
          <w:tcPr>
            <w:tcW w:type="dxa" w:w="2880"/>
          </w:tcPr>
          <w:p>
            <w:r/>
            <w:r>
              <w:rPr>
                <w:rFonts w:ascii="Times New Roman" w:hAnsi="Times New Roman"/>
                <w:b w:val="0"/>
                <w:color w:val="FF0000"/>
                <w:sz w:val="20"/>
              </w:rPr>
              <w:t>Low-grade endometrioid carcinoma</w:t>
            </w:r>
          </w:p>
        </w:tc>
        <w:tc>
          <w:tcPr>
            <w:tcW w:type="dxa" w:w="2880"/>
          </w:tcPr>
          <w:p>
            <w:pPr>
              <w:jc w:val="center"/>
            </w:pPr>
            <w:r/>
            <w:r>
              <w:rPr>
                <w:rFonts w:ascii="Times New Roman" w:hAnsi="Times New Roman"/>
                <w:b w:val="0"/>
                <w:color w:val="FF0000"/>
                <w:sz w:val="20"/>
              </w:rPr>
              <w:t>349 (59.1%)</w:t>
            </w:r>
          </w:p>
        </w:tc>
        <w:tc>
          <w:tcPr>
            <w:tcW w:type="dxa" w:w="2880"/>
          </w:tcPr>
          <w:p>
            <w:pPr>
              <w:jc w:val="center"/>
            </w:pPr>
            <w:r/>
            <w:r>
              <w:rPr>
                <w:rFonts w:ascii="Times New Roman" w:hAnsi="Times New Roman"/>
                <w:b w:val="0"/>
                <w:color w:val="FF0000"/>
                <w:sz w:val="20"/>
              </w:rPr>
              <w:t>14 (2.8%)</w:t>
            </w:r>
          </w:p>
        </w:tc>
      </w:tr>
      <w:tr>
        <w:tc>
          <w:tcPr>
            <w:tcW w:type="dxa" w:w="2880"/>
          </w:tcPr>
          <w:p>
            <w:r/>
            <w:r>
              <w:rPr>
                <w:rFonts w:ascii="Times New Roman" w:hAnsi="Times New Roman"/>
                <w:b w:val="0"/>
                <w:color w:val="FF0000"/>
                <w:sz w:val="20"/>
              </w:rPr>
              <w:t>Low-grade serous carcinoma</w:t>
            </w:r>
          </w:p>
        </w:tc>
        <w:tc>
          <w:tcPr>
            <w:tcW w:type="dxa" w:w="2880"/>
          </w:tcPr>
          <w:p>
            <w:pPr>
              <w:jc w:val="center"/>
            </w:pPr>
            <w:r/>
            <w:r>
              <w:rPr>
                <w:rFonts w:ascii="Times New Roman" w:hAnsi="Times New Roman"/>
                <w:b w:val="0"/>
                <w:color w:val="FF0000"/>
                <w:sz w:val="20"/>
              </w:rPr>
              <w:t>0 (0.0%)</w:t>
            </w:r>
          </w:p>
        </w:tc>
        <w:tc>
          <w:tcPr>
            <w:tcW w:type="dxa" w:w="2880"/>
          </w:tcPr>
          <w:p>
            <w:pPr>
              <w:jc w:val="center"/>
            </w:pPr>
            <w:r/>
            <w:r>
              <w:rPr>
                <w:rFonts w:ascii="Times New Roman" w:hAnsi="Times New Roman"/>
                <w:b w:val="0"/>
                <w:color w:val="FF0000"/>
                <w:sz w:val="20"/>
              </w:rPr>
              <w:t>7 (1.4%)</w:t>
            </w:r>
          </w:p>
        </w:tc>
      </w:tr>
      <w:tr>
        <w:tc>
          <w:tcPr>
            <w:tcW w:type="dxa" w:w="2880"/>
          </w:tcPr>
          <w:p>
            <w:r/>
            <w:r>
              <w:rPr>
                <w:rFonts w:ascii="Times New Roman" w:hAnsi="Times New Roman"/>
                <w:b w:val="0"/>
                <w:color w:val="FF0000"/>
                <w:sz w:val="20"/>
              </w:rPr>
              <w:t>Serous borderline tumor</w:t>
            </w:r>
          </w:p>
        </w:tc>
        <w:tc>
          <w:tcPr>
            <w:tcW w:type="dxa" w:w="2880"/>
          </w:tcPr>
          <w:p>
            <w:pPr>
              <w:jc w:val="center"/>
            </w:pPr>
            <w:r/>
            <w:r>
              <w:rPr>
                <w:rFonts w:ascii="Times New Roman" w:hAnsi="Times New Roman"/>
                <w:b w:val="0"/>
                <w:color w:val="FF0000"/>
                <w:sz w:val="20"/>
              </w:rPr>
              <w:t>0 (0.0%)</w:t>
            </w:r>
          </w:p>
        </w:tc>
        <w:tc>
          <w:tcPr>
            <w:tcW w:type="dxa" w:w="2880"/>
          </w:tcPr>
          <w:p>
            <w:pPr>
              <w:jc w:val="center"/>
            </w:pPr>
            <w:r/>
            <w:r>
              <w:rPr>
                <w:rFonts w:ascii="Times New Roman" w:hAnsi="Times New Roman"/>
                <w:b w:val="0"/>
                <w:color w:val="FF0000"/>
                <w:sz w:val="20"/>
              </w:rPr>
              <w:t>26 (5.2%)</w:t>
            </w:r>
          </w:p>
        </w:tc>
      </w:tr>
      <w:tr>
        <w:tc>
          <w:tcPr>
            <w:tcW w:type="dxa" w:w="2880"/>
          </w:tcPr>
          <w:p>
            <w:r/>
            <w:r>
              <w:rPr>
                <w:rFonts w:ascii="Times New Roman" w:hAnsi="Times New Roman"/>
                <w:b w:val="0"/>
                <w:color w:val="FF0000"/>
                <w:sz w:val="20"/>
              </w:rPr>
              <w:t>Other/unclassified</w:t>
            </w:r>
          </w:p>
        </w:tc>
        <w:tc>
          <w:tcPr>
            <w:tcW w:type="dxa" w:w="2880"/>
          </w:tcPr>
          <w:p>
            <w:pPr>
              <w:jc w:val="center"/>
            </w:pPr>
            <w:r/>
            <w:r>
              <w:rPr>
                <w:rFonts w:ascii="Times New Roman" w:hAnsi="Times New Roman"/>
                <w:b w:val="0"/>
                <w:color w:val="FF0000"/>
                <w:sz w:val="20"/>
              </w:rPr>
              <w:t>30 (5.1%)</w:t>
            </w:r>
          </w:p>
        </w:tc>
        <w:tc>
          <w:tcPr>
            <w:tcW w:type="dxa" w:w="2880"/>
          </w:tcPr>
          <w:p>
            <w:pPr>
              <w:jc w:val="center"/>
            </w:pPr>
            <w:r/>
            <w:r>
              <w:rPr>
                <w:rFonts w:ascii="Times New Roman" w:hAnsi="Times New Roman"/>
                <w:b w:val="0"/>
                <w:color w:val="FF0000"/>
                <w:sz w:val="20"/>
              </w:rPr>
              <w:t>4 (0.8%)</w:t>
            </w:r>
          </w:p>
        </w:tc>
      </w:tr>
    </w:tbl>
    <w:p>
      <w:pPr>
        <w:spacing w:after="240" w:line="480" w:lineRule="auto"/>
      </w:pPr>
      <w:r>
        <w:rPr>
          <w:rFonts w:ascii="Times New Roman" w:hAnsi="Times New Roman"/>
          <w:b/>
          <w:color w:val="FF0000"/>
          <w:sz w:val="22"/>
        </w:rPr>
        <w:t xml:space="preserve">Table 1. Histologic Diagnoses by Primary Tumor Site. </w:t>
      </w:r>
      <w:r>
        <w:rPr>
          <w:rFonts w:ascii="Times New Roman" w:hAnsi="Times New Roman"/>
          <w:b w:val="0"/>
          <w:color w:val="FF0000"/>
          <w:sz w:val="22"/>
        </w:rPr>
        <w:t>Percentages are column percentages within each site. The 8 synchronous endometrial and ovarian tumors and 2 cases of unspecified primary site are not shown in this table (they are described in the text). Low-grade serous carcinoma is listed separately but was included in the high-grade stratum for grade-based analyses.</w:t>
      </w:r>
    </w:p>
    <w:p>
      <w:pPr>
        <w:spacing w:after="120" w:line="480" w:lineRule="auto"/>
        <w:jc w:val="center"/>
      </w:pPr>
      <w:r>
        <w:rPr>
          <w:rFonts w:ascii="Times New Roman" w:hAnsi="Times New Roman"/>
          <w:b/>
          <w:color w:val="000000"/>
          <w:sz w:val="24"/>
        </w:rPr>
        <w:t>Omental Metastasis Distribution</w:t>
      </w:r>
    </w:p>
    <w:p>
      <w:pPr>
        <w:spacing w:after="120" w:line="480" w:lineRule="auto"/>
      </w:pPr>
      <w:r>
        <w:rPr>
          <w:rFonts w:ascii="Times New Roman" w:hAnsi="Times New Roman"/>
          <w:b w:val="0"/>
          <w:color w:val="000000"/>
          <w:sz w:val="22"/>
        </w:rPr>
        <w:t>Of the 1098 cases, 723 (65.8%) showed no omental involvement, 329 (30.0%) had grossly evident (macroscopic) disease, and 46 (4.2%) had a microscopically detected occult focus. The distribution of omental status by primary site is shown in Table 2 and Figure 1.</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
              <w:rPr>
                <w:rFonts w:ascii="Times New Roman" w:hAnsi="Times New Roman"/>
                <w:b/>
                <w:color w:val="FF0000"/>
                <w:sz w:val="20"/>
              </w:rPr>
              <w:t>Omental status</w:t>
            </w:r>
          </w:p>
        </w:tc>
        <w:tc>
          <w:tcPr>
            <w:tcW w:type="dxa" w:w="1728"/>
          </w:tcPr>
          <w:p>
            <w:r/>
            <w:r>
              <w:rPr>
                <w:rFonts w:ascii="Times New Roman" w:hAnsi="Times New Roman"/>
                <w:b/>
                <w:color w:val="FF0000"/>
                <w:sz w:val="20"/>
              </w:rPr>
              <w:t>Endometrial (n=591)</w:t>
            </w:r>
          </w:p>
        </w:tc>
        <w:tc>
          <w:tcPr>
            <w:tcW w:type="dxa" w:w="1728"/>
          </w:tcPr>
          <w:p>
            <w:r/>
            <w:r>
              <w:rPr>
                <w:rFonts w:ascii="Times New Roman" w:hAnsi="Times New Roman"/>
                <w:b/>
                <w:color w:val="FF0000"/>
                <w:sz w:val="20"/>
              </w:rPr>
              <w:t>Tubo-ovarian (n=497)</w:t>
            </w:r>
          </w:p>
        </w:tc>
        <w:tc>
          <w:tcPr>
            <w:tcW w:type="dxa" w:w="1728"/>
          </w:tcPr>
          <w:p>
            <w:r/>
            <w:r>
              <w:rPr>
                <w:rFonts w:ascii="Times New Roman" w:hAnsi="Times New Roman"/>
                <w:b/>
                <w:color w:val="FF0000"/>
                <w:sz w:val="20"/>
              </w:rPr>
              <w:t>Synchronous (n=8)</w:t>
            </w:r>
          </w:p>
        </w:tc>
        <w:tc>
          <w:tcPr>
            <w:tcW w:type="dxa" w:w="1728"/>
          </w:tcPr>
          <w:p>
            <w:r/>
            <w:r>
              <w:rPr>
                <w:rFonts w:ascii="Times New Roman" w:hAnsi="Times New Roman"/>
                <w:b/>
                <w:color w:val="FF0000"/>
                <w:sz w:val="20"/>
              </w:rPr>
              <w:t>Total (N=1098)</w:t>
            </w:r>
          </w:p>
        </w:tc>
      </w:tr>
      <w:tr>
        <w:tc>
          <w:tcPr>
            <w:tcW w:type="dxa" w:w="1728"/>
          </w:tcPr>
          <w:p>
            <w:r/>
            <w:r>
              <w:rPr>
                <w:rFonts w:ascii="Times New Roman" w:hAnsi="Times New Roman"/>
                <w:b w:val="0"/>
                <w:color w:val="FF0000"/>
                <w:sz w:val="20"/>
              </w:rPr>
              <w:t>No involvement</w:t>
            </w:r>
          </w:p>
        </w:tc>
        <w:tc>
          <w:tcPr>
            <w:tcW w:type="dxa" w:w="1728"/>
          </w:tcPr>
          <w:p>
            <w:pPr>
              <w:jc w:val="center"/>
            </w:pPr>
            <w:r/>
            <w:r>
              <w:rPr>
                <w:rFonts w:ascii="Times New Roman" w:hAnsi="Times New Roman"/>
                <w:b w:val="0"/>
                <w:color w:val="FF0000"/>
                <w:sz w:val="20"/>
              </w:rPr>
              <w:t>538 (91.0%)</w:t>
            </w:r>
          </w:p>
        </w:tc>
        <w:tc>
          <w:tcPr>
            <w:tcW w:type="dxa" w:w="1728"/>
          </w:tcPr>
          <w:p>
            <w:pPr>
              <w:jc w:val="center"/>
            </w:pPr>
            <w:r/>
            <w:r>
              <w:rPr>
                <w:rFonts w:ascii="Times New Roman" w:hAnsi="Times New Roman"/>
                <w:b w:val="0"/>
                <w:color w:val="FF0000"/>
                <w:sz w:val="20"/>
              </w:rPr>
              <w:t>179 (36.0%)</w:t>
            </w:r>
          </w:p>
        </w:tc>
        <w:tc>
          <w:tcPr>
            <w:tcW w:type="dxa" w:w="1728"/>
          </w:tcPr>
          <w:p>
            <w:pPr>
              <w:jc w:val="center"/>
            </w:pPr>
            <w:r/>
            <w:r>
              <w:rPr>
                <w:rFonts w:ascii="Times New Roman" w:hAnsi="Times New Roman"/>
                <w:b w:val="0"/>
                <w:color w:val="FF0000"/>
                <w:sz w:val="20"/>
              </w:rPr>
              <w:t>6 (75.0%)</w:t>
            </w:r>
          </w:p>
        </w:tc>
        <w:tc>
          <w:tcPr>
            <w:tcW w:type="dxa" w:w="1728"/>
          </w:tcPr>
          <w:p>
            <w:pPr>
              <w:jc w:val="center"/>
            </w:pPr>
            <w:r/>
            <w:r>
              <w:rPr>
                <w:rFonts w:ascii="Times New Roman" w:hAnsi="Times New Roman"/>
                <w:b w:val="0"/>
                <w:color w:val="FF0000"/>
                <w:sz w:val="20"/>
              </w:rPr>
              <w:t>723 (65.8%)</w:t>
            </w:r>
          </w:p>
        </w:tc>
      </w:tr>
      <w:tr>
        <w:tc>
          <w:tcPr>
            <w:tcW w:type="dxa" w:w="1728"/>
          </w:tcPr>
          <w:p>
            <w:r>
              <w:rPr>
                <w:b/>
              </w:rPr>
            </w:r>
            <w:r>
              <w:rPr>
                <w:rFonts w:ascii="Times New Roman" w:hAnsi="Times New Roman"/>
                <w:b/>
                <w:color w:val="FF0000"/>
                <w:sz w:val="20"/>
              </w:rPr>
              <w:t>Occult focus (&lt;0.5 cm)</w:t>
            </w:r>
          </w:p>
        </w:tc>
        <w:tc>
          <w:tcPr>
            <w:tcW w:type="dxa" w:w="1728"/>
          </w:tcPr>
          <w:p>
            <w:pPr>
              <w:jc w:val="center"/>
            </w:pPr>
            <w:r>
              <w:rPr>
                <w:b/>
              </w:rPr>
            </w:r>
            <w:r>
              <w:rPr>
                <w:rFonts w:ascii="Times New Roman" w:hAnsi="Times New Roman"/>
                <w:b/>
                <w:color w:val="FF0000"/>
                <w:sz w:val="20"/>
              </w:rPr>
              <w:t>10 (1.7%)</w:t>
            </w:r>
          </w:p>
        </w:tc>
        <w:tc>
          <w:tcPr>
            <w:tcW w:type="dxa" w:w="1728"/>
          </w:tcPr>
          <w:p>
            <w:pPr>
              <w:jc w:val="center"/>
            </w:pPr>
            <w:r>
              <w:rPr>
                <w:b/>
              </w:rPr>
            </w:r>
            <w:r>
              <w:rPr>
                <w:rFonts w:ascii="Times New Roman" w:hAnsi="Times New Roman"/>
                <w:b/>
                <w:color w:val="FF0000"/>
                <w:sz w:val="20"/>
              </w:rPr>
              <w:t>36 (7.2%)</w:t>
            </w:r>
          </w:p>
        </w:tc>
        <w:tc>
          <w:tcPr>
            <w:tcW w:type="dxa" w:w="1728"/>
          </w:tcPr>
          <w:p>
            <w:pPr>
              <w:jc w:val="center"/>
            </w:pPr>
            <w:r>
              <w:rPr>
                <w:b/>
              </w:rPr>
            </w:r>
            <w:r>
              <w:rPr>
                <w:rFonts w:ascii="Times New Roman" w:hAnsi="Times New Roman"/>
                <w:b/>
                <w:color w:val="FF0000"/>
                <w:sz w:val="20"/>
              </w:rPr>
              <w:t>0 (0.0%)</w:t>
            </w:r>
          </w:p>
        </w:tc>
        <w:tc>
          <w:tcPr>
            <w:tcW w:type="dxa" w:w="1728"/>
          </w:tcPr>
          <w:p>
            <w:pPr>
              <w:jc w:val="center"/>
            </w:pPr>
            <w:r>
              <w:rPr>
                <w:b/>
              </w:rPr>
            </w:r>
            <w:r>
              <w:rPr>
                <w:rFonts w:ascii="Times New Roman" w:hAnsi="Times New Roman"/>
                <w:b/>
                <w:color w:val="FF0000"/>
                <w:sz w:val="20"/>
              </w:rPr>
              <w:t>46 (4.2%)</w:t>
            </w:r>
          </w:p>
        </w:tc>
      </w:tr>
      <w:tr>
        <w:tc>
          <w:tcPr>
            <w:tcW w:type="dxa" w:w="1728"/>
          </w:tcPr>
          <w:p>
            <w:r/>
            <w:r>
              <w:rPr>
                <w:rFonts w:ascii="Times New Roman" w:hAnsi="Times New Roman"/>
                <w:b w:val="0"/>
                <w:color w:val="FF0000"/>
                <w:sz w:val="20"/>
              </w:rPr>
              <w:t>Macroscopic disease</w:t>
            </w:r>
          </w:p>
        </w:tc>
        <w:tc>
          <w:tcPr>
            <w:tcW w:type="dxa" w:w="1728"/>
          </w:tcPr>
          <w:p>
            <w:pPr>
              <w:jc w:val="center"/>
            </w:pPr>
            <w:r/>
            <w:r>
              <w:rPr>
                <w:rFonts w:ascii="Times New Roman" w:hAnsi="Times New Roman"/>
                <w:b w:val="0"/>
                <w:color w:val="FF0000"/>
                <w:sz w:val="20"/>
              </w:rPr>
              <w:t>43 (7.3%)</w:t>
            </w:r>
          </w:p>
        </w:tc>
        <w:tc>
          <w:tcPr>
            <w:tcW w:type="dxa" w:w="1728"/>
          </w:tcPr>
          <w:p>
            <w:pPr>
              <w:jc w:val="center"/>
            </w:pPr>
            <w:r/>
            <w:r>
              <w:rPr>
                <w:rFonts w:ascii="Times New Roman" w:hAnsi="Times New Roman"/>
                <w:b w:val="0"/>
                <w:color w:val="FF0000"/>
                <w:sz w:val="20"/>
              </w:rPr>
              <w:t>282 (56.7%)</w:t>
            </w:r>
          </w:p>
        </w:tc>
        <w:tc>
          <w:tcPr>
            <w:tcW w:type="dxa" w:w="1728"/>
          </w:tcPr>
          <w:p>
            <w:pPr>
              <w:jc w:val="center"/>
            </w:pPr>
            <w:r/>
            <w:r>
              <w:rPr>
                <w:rFonts w:ascii="Times New Roman" w:hAnsi="Times New Roman"/>
                <w:b w:val="0"/>
                <w:color w:val="FF0000"/>
                <w:sz w:val="20"/>
              </w:rPr>
              <w:t>2 (25.0%)</w:t>
            </w:r>
          </w:p>
        </w:tc>
        <w:tc>
          <w:tcPr>
            <w:tcW w:type="dxa" w:w="1728"/>
          </w:tcPr>
          <w:p>
            <w:pPr>
              <w:jc w:val="center"/>
            </w:pPr>
            <w:r/>
            <w:r>
              <w:rPr>
                <w:rFonts w:ascii="Times New Roman" w:hAnsi="Times New Roman"/>
                <w:b w:val="0"/>
                <w:color w:val="FF0000"/>
                <w:sz w:val="20"/>
              </w:rPr>
              <w:t>329 (30.0%)</w:t>
            </w:r>
          </w:p>
        </w:tc>
      </w:tr>
    </w:tbl>
    <w:p>
      <w:pPr>
        <w:spacing w:after="240" w:line="480" w:lineRule="auto"/>
      </w:pPr>
      <w:r>
        <w:rPr>
          <w:rFonts w:ascii="Times New Roman" w:hAnsi="Times New Roman"/>
          <w:b/>
          <w:color w:val="FF0000"/>
          <w:sz w:val="22"/>
        </w:rPr>
        <w:t xml:space="preserve">Table 2. Omental Involvement by Primary Tumor Site. </w:t>
      </w:r>
      <w:r>
        <w:rPr>
          <w:rFonts w:ascii="Times New Roman" w:hAnsi="Times New Roman"/>
          <w:b w:val="0"/>
          <w:color w:val="FF0000"/>
          <w:sz w:val="22"/>
        </w:rPr>
        <w:t>Bolded entries in the manuscript tables denote the values on which the sampling recommendation is based; here they identify the occult-focus (&lt;0.5 cm) cases that are the subject of the detection analysis. Percentages are column percentages within each site. Two cases with unspecified primary site are included in the total only.</w:t>
      </w:r>
    </w:p>
    <w:p>
      <w:pPr>
        <w:spacing w:after="120" w:line="480" w:lineRule="auto"/>
        <w:jc w:val="center"/>
      </w:pPr>
      <w:r>
        <w:rPr>
          <w:rFonts w:ascii="Times New Roman" w:hAnsi="Times New Roman"/>
          <w:b/>
          <w:color w:val="000000"/>
          <w:sz w:val="24"/>
        </w:rPr>
        <w:t>Microscopically Detected (Occult) Metastasis Cases</w:t>
      </w:r>
    </w:p>
    <w:p>
      <w:pPr>
        <w:spacing w:after="120" w:line="480" w:lineRule="auto"/>
      </w:pPr>
      <w:r>
        <w:rPr>
          <w:rFonts w:ascii="Times New Roman" w:hAnsi="Times New Roman"/>
          <w:b w:val="0"/>
          <w:color w:val="FF0000"/>
          <w:sz w:val="22"/>
        </w:rPr>
        <w:t xml:space="preserve">Among the 46 patients with an occult omental focus, the primary tumor was tubo-ovarian in 36 (78.3%) and endometrial in 10 (21.7%); none were synchronous tumors. By grade, 43 (93.5%) were high-grade carcinomas and 3 (6.5%) were serous borderline tumors, and no low-grade endometrioid carcinoma had an occult focus. Of the 43 high-grade cases, 32 were high-grade serous carcinoma, 5 carcinosarcoma, 3 high-grade carcinoma (NOS), 1 mixed endometrioid and serous carcinoma, 1 mucinous carcinoma, and 1 was a low-grade serous carcinoma of the ovary; the 3 borderline cases were serous borderline tumors. </w:t>
      </w:r>
      <w:r>
        <w:rPr>
          <w:rFonts w:ascii="Times New Roman" w:hAnsi="Times New Roman"/>
          <w:b w:val="0"/>
          <w:color w:val="FF0000"/>
          <w:sz w:val="22"/>
        </w:rPr>
        <w:t>On re-review of the archived slides, the greatest dimension of the occult focus ranged from 0.1 to 0.5 cm (median, 0.15 cm; mean, 0.20 cm); 23 foci (50.0%) measured 0.1 cm and only 2 (4.3%) measured exactly 0.5 cm, confirming that the great majority were well below the threshold of reliable gross or palpatory detection. The omentum submitted for review had been recorded as grossly unremarkable in all 46 cases. The omentum was the sole stage-defining specimen — i.e., the finding that raised the overall FIGO stage — in 24 of 46 cases (52.2%); in the remaining 22 the stage was already established by other sites. The greatest dimension of the omental specimen, available for 45 of 46 cases, ranged from 6.5 to 90 cm (median, 23 cm; interquartile range, 16-30 cm), indicating that occult foci were being sought within substantial volumes of grossly normal tissue.</w:t>
      </w:r>
    </w:p>
    <w:p>
      <w:pPr>
        <w:spacing w:after="120" w:line="480" w:lineRule="auto"/>
        <w:jc w:val="center"/>
      </w:pPr>
      <w:r>
        <w:rPr>
          <w:rFonts w:ascii="Times New Roman" w:hAnsi="Times New Roman"/>
          <w:b/>
          <w:color w:val="000000"/>
          <w:sz w:val="24"/>
        </w:rPr>
        <w:t>First Detection Analysis</w:t>
      </w:r>
    </w:p>
    <w:p>
      <w:pPr>
        <w:spacing w:after="120" w:line="480" w:lineRule="auto"/>
      </w:pPr>
      <w:r>
        <w:rPr>
          <w:rFonts w:ascii="Times New Roman" w:hAnsi="Times New Roman"/>
          <w:b w:val="0"/>
          <w:color w:val="000000"/>
          <w:sz w:val="22"/>
        </w:rPr>
        <w:t>All 46 occult-focus cases had complete tracking data. The mean cassette number at first detection was 1.87 (median, 1; SD, 1.17; range, 1-5). The focus was found in the first cassette in 24 cases (52.2%) and in the second in 12 cases (26.1%). The distribution of first detection by cassette number is shown in Figure 2.</w:t>
      </w:r>
    </w:p>
    <w:p>
      <w:pPr>
        <w:spacing w:after="120" w:line="480" w:lineRule="auto"/>
        <w:jc w:val="center"/>
      </w:pPr>
      <w:r>
        <w:rPr>
          <w:rFonts w:ascii="Times New Roman" w:hAnsi="Times New Roman"/>
          <w:b/>
          <w:color w:val="000000"/>
          <w:sz w:val="24"/>
        </w:rPr>
        <w:t>Detection Probability Analysis</w:t>
      </w:r>
    </w:p>
    <w:p>
      <w:pPr>
        <w:spacing w:after="120" w:line="480" w:lineRule="auto"/>
        <w:ind w:firstLine="360"/>
      </w:pPr>
      <w:r>
        <w:rPr>
          <w:rFonts w:ascii="Times New Roman" w:hAnsi="Times New Roman"/>
          <w:b/>
          <w:color w:val="000000"/>
          <w:sz w:val="22"/>
        </w:rPr>
        <w:t>Geometric Maximum Likelihood Estimation</w:t>
      </w:r>
      <w:r>
        <w:rPr>
          <w:rFonts w:ascii="Times New Roman" w:hAnsi="Times New Roman"/>
          <w:b/>
          <w:color w:val="000000"/>
          <w:sz w:val="22"/>
        </w:rPr>
        <w:t xml:space="preserve"> — </w:t>
      </w:r>
      <w:r>
        <w:rPr>
          <w:rFonts w:ascii="Times New Roman" w:hAnsi="Times New Roman"/>
          <w:b w:val="0"/>
          <w:color w:val="000000"/>
          <w:sz w:val="22"/>
        </w:rPr>
        <w:t>The geometric MLE, estimated from the distribution of first-detection cassette numbers, yielded a per-cassette detection probability of q = 0.539 (95% CI, 0.451-0.639), corresponding to a 53.9% probability of detecting the focus in any single cassette.</w:t>
      </w:r>
    </w:p>
    <w:p>
      <w:pPr>
        <w:spacing w:after="120" w:line="480" w:lineRule="auto"/>
        <w:ind w:firstLine="360"/>
      </w:pPr>
      <w:r>
        <w:rPr>
          <w:rFonts w:ascii="Times New Roman" w:hAnsi="Times New Roman"/>
          <w:b/>
          <w:color w:val="000000"/>
          <w:sz w:val="22"/>
        </w:rPr>
        <w:t>Empirical Proportion Analysis</w:t>
      </w:r>
      <w:r>
        <w:rPr>
          <w:rFonts w:ascii="Times New Roman" w:hAnsi="Times New Roman"/>
          <w:b/>
          <w:color w:val="000000"/>
          <w:sz w:val="22"/>
        </w:rPr>
        <w:t xml:space="preserve"> — </w:t>
      </w:r>
      <w:r>
        <w:rPr>
          <w:rFonts w:ascii="Times New Roman" w:hAnsi="Times New Roman"/>
          <w:b w:val="0"/>
          <w:color w:val="000000"/>
          <w:sz w:val="22"/>
        </w:rPr>
        <w:t>Across all 46 cases, 276 cassettes were examined, of which 162 contained tumor, yielding an empirical detection probability of q = 0.587 (58.7%).</w:t>
      </w:r>
    </w:p>
    <w:p>
      <w:pPr>
        <w:spacing w:after="120" w:line="480" w:lineRule="auto"/>
        <w:ind w:firstLine="360"/>
      </w:pPr>
      <w:r>
        <w:rPr>
          <w:rFonts w:ascii="Times New Roman" w:hAnsi="Times New Roman"/>
          <w:b/>
          <w:color w:val="000000"/>
          <w:sz w:val="22"/>
        </w:rPr>
        <w:t>Comparison of Methods</w:t>
      </w:r>
      <w:r>
        <w:rPr>
          <w:rFonts w:ascii="Times New Roman" w:hAnsi="Times New Roman"/>
          <w:b/>
          <w:color w:val="000000"/>
          <w:sz w:val="22"/>
        </w:rPr>
        <w:t xml:space="preserve"> — </w:t>
      </w:r>
      <w:r>
        <w:rPr>
          <w:rFonts w:ascii="Times New Roman" w:hAnsi="Times New Roman"/>
          <w:b w:val="0"/>
          <w:color w:val="000000"/>
          <w:sz w:val="22"/>
        </w:rPr>
        <w:t>Both approaches converged on the same recommendation: 4 cassettes achieved greater than 95% cumulative detection (Table 3 and Figure 3). The geometric MLE (q = 0.539) predicted 95.5% cumulative detection with 4 cassettes and the empirical proportion (q = 0.587) predicted 97.1%.</w:t>
      </w:r>
    </w:p>
    <w:tbl>
      <w:tblPr>
        <w:tblStyle w:val="TableGrid"/>
        <w:tblW w:type="auto" w:w="0"/>
        <w:tblLook w:firstColumn="1" w:firstRow="1" w:lastColumn="0" w:lastRow="0" w:noHBand="0" w:noVBand="1" w:val="04A0"/>
      </w:tblPr>
      <w:tblGrid>
        <w:gridCol w:w="2880"/>
        <w:gridCol w:w="2880"/>
        <w:gridCol w:w="2880"/>
      </w:tblGrid>
      <w:tr>
        <w:tc>
          <w:tcPr>
            <w:tcW w:type="dxa" w:w="2880"/>
          </w:tcPr>
          <w:p>
            <w:r/>
            <w:r>
              <w:rPr>
                <w:rFonts w:ascii="Times New Roman" w:hAnsi="Times New Roman"/>
                <w:b/>
                <w:color w:val="000000"/>
                <w:sz w:val="20"/>
              </w:rPr>
              <w:t>Cassettes sampled</w:t>
            </w:r>
          </w:p>
        </w:tc>
        <w:tc>
          <w:tcPr>
            <w:tcW w:type="dxa" w:w="2880"/>
          </w:tcPr>
          <w:p>
            <w:r/>
            <w:r>
              <w:rPr>
                <w:rFonts w:ascii="Times New Roman" w:hAnsi="Times New Roman"/>
                <w:b/>
                <w:color w:val="000000"/>
                <w:sz w:val="20"/>
              </w:rPr>
              <w:t>Geometric MLE (%)</w:t>
            </w:r>
          </w:p>
        </w:tc>
        <w:tc>
          <w:tcPr>
            <w:tcW w:type="dxa" w:w="2880"/>
          </w:tcPr>
          <w:p>
            <w:r/>
            <w:r>
              <w:rPr>
                <w:rFonts w:ascii="Times New Roman" w:hAnsi="Times New Roman"/>
                <w:b/>
                <w:color w:val="000000"/>
                <w:sz w:val="20"/>
              </w:rPr>
              <w:t>Empirical proportion (%)</w:t>
            </w:r>
          </w:p>
        </w:tc>
      </w:tr>
      <w:tr>
        <w:tc>
          <w:tcPr>
            <w:tcW w:type="dxa" w:w="2880"/>
          </w:tcPr>
          <w:p>
            <w:r/>
            <w:r>
              <w:rPr>
                <w:rFonts w:ascii="Times New Roman" w:hAnsi="Times New Roman"/>
                <w:b w:val="0"/>
                <w:color w:val="000000"/>
                <w:sz w:val="20"/>
              </w:rPr>
              <w:t>1</w:t>
            </w:r>
          </w:p>
        </w:tc>
        <w:tc>
          <w:tcPr>
            <w:tcW w:type="dxa" w:w="2880"/>
          </w:tcPr>
          <w:p>
            <w:pPr>
              <w:jc w:val="center"/>
            </w:pPr>
            <w:r/>
            <w:r>
              <w:rPr>
                <w:rFonts w:ascii="Times New Roman" w:hAnsi="Times New Roman"/>
                <w:b w:val="0"/>
                <w:color w:val="000000"/>
                <w:sz w:val="20"/>
              </w:rPr>
              <w:t>53.9</w:t>
            </w:r>
          </w:p>
        </w:tc>
        <w:tc>
          <w:tcPr>
            <w:tcW w:type="dxa" w:w="2880"/>
          </w:tcPr>
          <w:p>
            <w:pPr>
              <w:jc w:val="center"/>
            </w:pPr>
            <w:r/>
            <w:r>
              <w:rPr>
                <w:rFonts w:ascii="Times New Roman" w:hAnsi="Times New Roman"/>
                <w:b w:val="0"/>
                <w:color w:val="000000"/>
                <w:sz w:val="20"/>
              </w:rPr>
              <w:t>58.7</w:t>
            </w:r>
          </w:p>
        </w:tc>
      </w:tr>
      <w:tr>
        <w:tc>
          <w:tcPr>
            <w:tcW w:type="dxa" w:w="2880"/>
          </w:tcPr>
          <w:p>
            <w:r/>
            <w:r>
              <w:rPr>
                <w:rFonts w:ascii="Times New Roman" w:hAnsi="Times New Roman"/>
                <w:b w:val="0"/>
                <w:color w:val="000000"/>
                <w:sz w:val="20"/>
              </w:rPr>
              <w:t>2</w:t>
            </w:r>
          </w:p>
        </w:tc>
        <w:tc>
          <w:tcPr>
            <w:tcW w:type="dxa" w:w="2880"/>
          </w:tcPr>
          <w:p>
            <w:pPr>
              <w:jc w:val="center"/>
            </w:pPr>
            <w:r/>
            <w:r>
              <w:rPr>
                <w:rFonts w:ascii="Times New Roman" w:hAnsi="Times New Roman"/>
                <w:b w:val="0"/>
                <w:color w:val="000000"/>
                <w:sz w:val="20"/>
              </w:rPr>
              <w:t>78.7</w:t>
            </w:r>
          </w:p>
        </w:tc>
        <w:tc>
          <w:tcPr>
            <w:tcW w:type="dxa" w:w="2880"/>
          </w:tcPr>
          <w:p>
            <w:pPr>
              <w:jc w:val="center"/>
            </w:pPr>
            <w:r/>
            <w:r>
              <w:rPr>
                <w:rFonts w:ascii="Times New Roman" w:hAnsi="Times New Roman"/>
                <w:b w:val="0"/>
                <w:color w:val="000000"/>
                <w:sz w:val="20"/>
              </w:rPr>
              <w:t>82.9</w:t>
            </w:r>
          </w:p>
        </w:tc>
      </w:tr>
      <w:tr>
        <w:tc>
          <w:tcPr>
            <w:tcW w:type="dxa" w:w="2880"/>
          </w:tcPr>
          <w:p>
            <w:r/>
            <w:r>
              <w:rPr>
                <w:rFonts w:ascii="Times New Roman" w:hAnsi="Times New Roman"/>
                <w:b w:val="0"/>
                <w:color w:val="000000"/>
                <w:sz w:val="20"/>
              </w:rPr>
              <w:t>3</w:t>
            </w:r>
          </w:p>
        </w:tc>
        <w:tc>
          <w:tcPr>
            <w:tcW w:type="dxa" w:w="2880"/>
          </w:tcPr>
          <w:p>
            <w:pPr>
              <w:jc w:val="center"/>
            </w:pPr>
            <w:r/>
            <w:r>
              <w:rPr>
                <w:rFonts w:ascii="Times New Roman" w:hAnsi="Times New Roman"/>
                <w:b w:val="0"/>
                <w:color w:val="000000"/>
                <w:sz w:val="20"/>
              </w:rPr>
              <w:t>90.2</w:t>
            </w:r>
          </w:p>
        </w:tc>
        <w:tc>
          <w:tcPr>
            <w:tcW w:type="dxa" w:w="2880"/>
          </w:tcPr>
          <w:p>
            <w:pPr>
              <w:jc w:val="center"/>
            </w:pPr>
            <w:r/>
            <w:r>
              <w:rPr>
                <w:rFonts w:ascii="Times New Roman" w:hAnsi="Times New Roman"/>
                <w:b w:val="0"/>
                <w:color w:val="000000"/>
                <w:sz w:val="20"/>
              </w:rPr>
              <w:t>93.0</w:t>
            </w:r>
          </w:p>
        </w:tc>
      </w:tr>
      <w:tr>
        <w:tc>
          <w:tcPr>
            <w:tcW w:type="dxa" w:w="2880"/>
          </w:tcPr>
          <w:p>
            <w:r>
              <w:rPr>
                <w:b/>
              </w:rPr>
            </w:r>
            <w:r>
              <w:rPr>
                <w:rFonts w:ascii="Times New Roman" w:hAnsi="Times New Roman"/>
                <w:b/>
                <w:color w:val="000000"/>
                <w:sz w:val="20"/>
              </w:rPr>
              <w:t>4</w:t>
            </w:r>
          </w:p>
        </w:tc>
        <w:tc>
          <w:tcPr>
            <w:tcW w:type="dxa" w:w="2880"/>
          </w:tcPr>
          <w:p>
            <w:pPr>
              <w:jc w:val="center"/>
            </w:pPr>
            <w:r>
              <w:rPr>
                <w:b/>
              </w:rPr>
            </w:r>
            <w:r>
              <w:rPr>
                <w:rFonts w:ascii="Times New Roman" w:hAnsi="Times New Roman"/>
                <w:b/>
                <w:color w:val="000000"/>
                <w:sz w:val="20"/>
              </w:rPr>
              <w:t>95.5</w:t>
            </w:r>
          </w:p>
        </w:tc>
        <w:tc>
          <w:tcPr>
            <w:tcW w:type="dxa" w:w="2880"/>
          </w:tcPr>
          <w:p>
            <w:pPr>
              <w:jc w:val="center"/>
            </w:pPr>
            <w:r>
              <w:rPr>
                <w:b/>
              </w:rPr>
            </w:r>
            <w:r>
              <w:rPr>
                <w:rFonts w:ascii="Times New Roman" w:hAnsi="Times New Roman"/>
                <w:b/>
                <w:color w:val="000000"/>
                <w:sz w:val="20"/>
              </w:rPr>
              <w:t>97.1</w:t>
            </w:r>
          </w:p>
        </w:tc>
      </w:tr>
      <w:tr>
        <w:tc>
          <w:tcPr>
            <w:tcW w:type="dxa" w:w="2880"/>
          </w:tcPr>
          <w:p>
            <w:r/>
            <w:r>
              <w:rPr>
                <w:rFonts w:ascii="Times New Roman" w:hAnsi="Times New Roman"/>
                <w:b w:val="0"/>
                <w:color w:val="000000"/>
                <w:sz w:val="20"/>
              </w:rPr>
              <w:t>5</w:t>
            </w:r>
          </w:p>
        </w:tc>
        <w:tc>
          <w:tcPr>
            <w:tcW w:type="dxa" w:w="2880"/>
          </w:tcPr>
          <w:p>
            <w:pPr>
              <w:jc w:val="center"/>
            </w:pPr>
            <w:r/>
            <w:r>
              <w:rPr>
                <w:rFonts w:ascii="Times New Roman" w:hAnsi="Times New Roman"/>
                <w:b w:val="0"/>
                <w:color w:val="000000"/>
                <w:sz w:val="20"/>
              </w:rPr>
              <w:t>97.9</w:t>
            </w:r>
          </w:p>
        </w:tc>
        <w:tc>
          <w:tcPr>
            <w:tcW w:type="dxa" w:w="2880"/>
          </w:tcPr>
          <w:p>
            <w:pPr>
              <w:jc w:val="center"/>
            </w:pPr>
            <w:r/>
            <w:r>
              <w:rPr>
                <w:rFonts w:ascii="Times New Roman" w:hAnsi="Times New Roman"/>
                <w:b w:val="0"/>
                <w:color w:val="000000"/>
                <w:sz w:val="20"/>
              </w:rPr>
              <w:t>98.8</w:t>
            </w:r>
          </w:p>
        </w:tc>
      </w:tr>
      <w:tr>
        <w:tc>
          <w:tcPr>
            <w:tcW w:type="dxa" w:w="2880"/>
          </w:tcPr>
          <w:p>
            <w:r/>
            <w:r>
              <w:rPr>
                <w:rFonts w:ascii="Times New Roman" w:hAnsi="Times New Roman"/>
                <w:b w:val="0"/>
                <w:color w:val="000000"/>
                <w:sz w:val="20"/>
              </w:rPr>
              <w:t>6</w:t>
            </w:r>
          </w:p>
        </w:tc>
        <w:tc>
          <w:tcPr>
            <w:tcW w:type="dxa" w:w="2880"/>
          </w:tcPr>
          <w:p>
            <w:pPr>
              <w:jc w:val="center"/>
            </w:pPr>
            <w:r/>
            <w:r>
              <w:rPr>
                <w:rFonts w:ascii="Times New Roman" w:hAnsi="Times New Roman"/>
                <w:b w:val="0"/>
                <w:color w:val="000000"/>
                <w:sz w:val="20"/>
              </w:rPr>
              <w:t>99.0</w:t>
            </w:r>
          </w:p>
        </w:tc>
        <w:tc>
          <w:tcPr>
            <w:tcW w:type="dxa" w:w="2880"/>
          </w:tcPr>
          <w:p>
            <w:pPr>
              <w:jc w:val="center"/>
            </w:pPr>
            <w:r/>
            <w:r>
              <w:rPr>
                <w:rFonts w:ascii="Times New Roman" w:hAnsi="Times New Roman"/>
                <w:b w:val="0"/>
                <w:color w:val="000000"/>
                <w:sz w:val="20"/>
              </w:rPr>
              <w:t>99.5</w:t>
            </w:r>
          </w:p>
        </w:tc>
      </w:tr>
      <w:tr>
        <w:tc>
          <w:tcPr>
            <w:tcW w:type="dxa" w:w="2880"/>
          </w:tcPr>
          <w:p>
            <w:r/>
            <w:r>
              <w:rPr>
                <w:rFonts w:ascii="Times New Roman" w:hAnsi="Times New Roman"/>
                <w:b w:val="0"/>
                <w:color w:val="000000"/>
                <w:sz w:val="20"/>
              </w:rPr>
              <w:t>7</w:t>
            </w:r>
          </w:p>
        </w:tc>
        <w:tc>
          <w:tcPr>
            <w:tcW w:type="dxa" w:w="2880"/>
          </w:tcPr>
          <w:p>
            <w:pPr>
              <w:jc w:val="center"/>
            </w:pPr>
            <w:r/>
            <w:r>
              <w:rPr>
                <w:rFonts w:ascii="Times New Roman" w:hAnsi="Times New Roman"/>
                <w:b w:val="0"/>
                <w:color w:val="000000"/>
                <w:sz w:val="20"/>
              </w:rPr>
              <w:t>99.6</w:t>
            </w:r>
          </w:p>
        </w:tc>
        <w:tc>
          <w:tcPr>
            <w:tcW w:type="dxa" w:w="2880"/>
          </w:tcPr>
          <w:p>
            <w:pPr>
              <w:jc w:val="center"/>
            </w:pPr>
            <w:r/>
            <w:r>
              <w:rPr>
                <w:rFonts w:ascii="Times New Roman" w:hAnsi="Times New Roman"/>
                <w:b w:val="0"/>
                <w:color w:val="000000"/>
                <w:sz w:val="20"/>
              </w:rPr>
              <w:t>99.8</w:t>
            </w:r>
          </w:p>
        </w:tc>
      </w:tr>
    </w:tbl>
    <w:p>
      <w:pPr>
        <w:spacing w:after="240" w:line="480" w:lineRule="auto"/>
      </w:pPr>
      <w:r>
        <w:rPr>
          <w:rFonts w:ascii="Times New Roman" w:hAnsi="Times New Roman"/>
          <w:b/>
          <w:color w:val="000000"/>
          <w:sz w:val="22"/>
        </w:rPr>
        <w:t xml:space="preserve">Table 3. Cumulative Detection Probability by Number of Cassettes Sampled, Geometric Versus Empirical Estimates. </w:t>
      </w:r>
      <w:r>
        <w:rPr>
          <w:rFonts w:ascii="Times New Roman" w:hAnsi="Times New Roman"/>
          <w:b w:val="0"/>
          <w:color w:val="000000"/>
          <w:sz w:val="22"/>
        </w:rPr>
        <w:t>Bolded entries indicate the 4-cassette recommendation, at which both methods exceed 95% cumulative detection.</w:t>
      </w:r>
    </w:p>
    <w:p>
      <w:pPr>
        <w:spacing w:after="120" w:line="480" w:lineRule="auto"/>
        <w:jc w:val="center"/>
      </w:pPr>
      <w:r>
        <w:rPr>
          <w:rFonts w:ascii="Times New Roman" w:hAnsi="Times New Roman"/>
          <w:b/>
          <w:color w:val="000000"/>
          <w:sz w:val="24"/>
        </w:rPr>
        <w:t>Detection by Chemotherapy Status</w:t>
      </w:r>
    </w:p>
    <w:p>
      <w:pPr>
        <w:spacing w:after="120" w:line="480" w:lineRule="auto"/>
      </w:pPr>
      <w:r>
        <w:rPr>
          <w:rFonts w:ascii="Times New Roman" w:hAnsi="Times New Roman"/>
          <w:b w:val="0"/>
          <w:color w:val="FF0000"/>
          <w:sz w:val="22"/>
        </w:rPr>
        <w:t>Because omental sampling is increasingly performed after neoadjuvant chemotherapy, we compared chemonaive patients (n=985) with those who had received neoadjuvant chemotherapy before debulking (n=113). Any omental involvement was far more frequent in the post-chemotherapy group (100 of 113; 88.5%) than in chemonaive patients (275 of 985; 27.9%; chi-square P&lt;.001), as was the occult (&lt;0.5 cm) focus specifically (19 of 113; 16.8% versus 27 of 985; 2.7%). Among the 46 occult-focus cases, however, the mean first-detection cassette did not differ between the post-chemotherapy (1.95) and chemonaive (1.81) subgroups (Mann-Whitney U test, P=.95), indicating that once an occult focus is present the number of blocks needed to find it is similar regardless of chemotherapy status. The higher overall involvement after chemotherapy reinforces, rather than weakens, the case for adequate sampling in this expanding group of patients.</w:t>
      </w:r>
    </w:p>
    <w:p>
      <w:pPr>
        <w:spacing w:after="120" w:line="480" w:lineRule="auto"/>
        <w:jc w:val="center"/>
      </w:pPr>
      <w:r>
        <w:rPr>
          <w:rFonts w:ascii="Times New Roman" w:hAnsi="Times New Roman"/>
          <w:b/>
          <w:color w:val="000000"/>
          <w:sz w:val="24"/>
        </w:rPr>
        <w:t>Heterogeneity and Extent of Omental Involvement</w:t>
      </w:r>
    </w:p>
    <w:p>
      <w:pPr>
        <w:spacing w:after="120" w:line="480" w:lineRule="auto"/>
      </w:pPr>
      <w:r>
        <w:rPr>
          <w:rFonts w:ascii="Times New Roman" w:hAnsi="Times New Roman"/>
          <w:b w:val="0"/>
          <w:color w:val="000000"/>
          <w:sz w:val="22"/>
        </w:rPr>
        <w:t>Assessment of heterogeneity revealed a coefficient of variation of 0.502 (50.2%), indicating moderate heterogeneity. Per-case positivity rates ranged from 10% to 100% (mean, 62.4%; median, 66.7%). Thirty-five of 46 cases (76.1%) had tumor in multiple blocks and 10 (21.7%) had tumor confined to a single block, with the number of positive blocks unrecorded in 1 case; the mean number of positive blocks was 3.6 per case. Because the spatial relationship between blocks was not recorded, we cannot determine whether multi-block positivity reflects clustered or diffuse involvement; regardless, it indicates that most occult foci involve enough omental tissue to be detected across multiple independently sampled cassettes.</w:t>
      </w:r>
    </w:p>
    <w:p>
      <w:pPr>
        <w:spacing w:after="120" w:line="480" w:lineRule="auto"/>
        <w:ind w:firstLine="360"/>
      </w:pPr>
      <w:r>
        <w:rPr>
          <w:rFonts w:ascii="Times New Roman" w:hAnsi="Times New Roman"/>
          <w:b/>
          <w:color w:val="000000"/>
          <w:sz w:val="22"/>
        </w:rPr>
        <w:t>Beta-Binomial Sensitivity Analysis</w:t>
      </w:r>
      <w:r>
        <w:rPr>
          <w:rFonts w:ascii="Times New Roman" w:hAnsi="Times New Roman"/>
          <w:b/>
          <w:color w:val="000000"/>
          <w:sz w:val="22"/>
        </w:rPr>
        <w:t xml:space="preserve"> — </w:t>
      </w:r>
      <w:r>
        <w:rPr>
          <w:rFonts w:ascii="Times New Roman" w:hAnsi="Times New Roman"/>
          <w:b w:val="0"/>
          <w:color w:val="000000"/>
          <w:sz w:val="22"/>
        </w:rPr>
        <w:t>Accounting for inter-case heterogeneity, a beta-binomial model (α = 0.867, β = 0.523; overdispersion ρ = 0.419) estimated 85.7% detection at 4 cassettes and 90.8% at 7. These lower values reflect the conservative nature of the model, which weights the subset of cases with very focal disease and low per-cassette positivity; the geometric estimates (95.5% and 99.6%) represent the average expected detection across all cases, which is the relevant metric for protocol development.</w:t>
      </w:r>
    </w:p>
    <w:p>
      <w:pPr>
        <w:spacing w:after="120" w:line="480" w:lineRule="auto"/>
        <w:jc w:val="center"/>
      </w:pPr>
      <w:r>
        <w:rPr>
          <w:rFonts w:ascii="Times New Roman" w:hAnsi="Times New Roman"/>
          <w:b/>
          <w:color w:val="000000"/>
          <w:sz w:val="24"/>
        </w:rPr>
        <w:t>Stratified Analysis by Tumor Burden</w:t>
      </w:r>
    </w:p>
    <w:p>
      <w:pPr>
        <w:spacing w:after="120" w:line="480" w:lineRule="auto"/>
      </w:pPr>
      <w:r>
        <w:rPr>
          <w:rFonts w:ascii="Times New Roman" w:hAnsi="Times New Roman"/>
          <w:b w:val="0"/>
          <w:color w:val="FF0000"/>
          <w:sz w:val="22"/>
        </w:rPr>
        <w:t xml:space="preserve">Detection patterns differed significantly across tumor burden strata (Kruskal-Wallis H=18.81, df=2, P&lt;.001). </w:t>
      </w:r>
      <w:r>
        <w:rPr>
          <w:rFonts w:ascii="Times New Roman" w:hAnsi="Times New Roman"/>
          <w:b w:val="0"/>
          <w:color w:val="000000"/>
          <w:sz w:val="22"/>
        </w:rPr>
        <w:t>High-burden cases (4+ positive blocks) showed earlier detection (mean first cassette, 1.24) than single-block cases (mean, 3.2). Among low-burden cases, only 20% were detected at cassette 1 but 80% by cassette 4, demonstrating that the 4-cassette recommendation is most critical for focal disease.</w:t>
      </w:r>
    </w:p>
    <w:p>
      <w:pPr>
        <w:spacing w:after="120" w:line="480" w:lineRule="auto"/>
        <w:jc w:val="center"/>
      </w:pPr>
      <w:r>
        <w:rPr>
          <w:rFonts w:ascii="Times New Roman" w:hAnsi="Times New Roman"/>
          <w:b/>
          <w:color w:val="000000"/>
          <w:sz w:val="24"/>
        </w:rPr>
        <w:t>Comparison by Primary Tumor Site</w:t>
      </w:r>
    </w:p>
    <w:p>
      <w:pPr>
        <w:spacing w:after="120" w:line="480" w:lineRule="auto"/>
      </w:pPr>
      <w:r>
        <w:rPr>
          <w:rFonts w:ascii="Times New Roman" w:hAnsi="Times New Roman"/>
          <w:b w:val="0"/>
          <w:color w:val="FF0000"/>
          <w:sz w:val="22"/>
        </w:rPr>
        <w:t xml:space="preserve">The median first-detection cassette was 1.5 (mean, 2.2) in endometrial carcinomas (n=10) and 1 (mean, 1.78) in tubo-ovarian carcinomas (n=36); this difference was not statistically significant (Mann-Whitney U test, P=.495; mean difference, 0.42; 95% CI, −0.46 to 1.33; rank-biserial r=−0.133). </w:t>
      </w:r>
      <w:r>
        <w:rPr>
          <w:rFonts w:ascii="Times New Roman" w:hAnsi="Times New Roman"/>
          <w:b w:val="0"/>
          <w:color w:val="FF0000"/>
          <w:sz w:val="22"/>
        </w:rPr>
        <w:t>Separate cumulative curves (Table 4, Figure 4) gave a slightly higher per-cassette probability for tubo-ovarian (q=0.562; 95% CI, 0.462-0.692) than endometrial tumors (q=0.455; 95% CI, 0.333-0.714); tubo-ovarian carcinomas reached 95% at 4 cassettes and endometrial at 5. Given the small endometrial subgroup (n=10) and wide, overlapping confidence intervals, this does not justify different sampling protocols by site.</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
              <w:rPr>
                <w:rFonts w:ascii="Times New Roman" w:hAnsi="Times New Roman"/>
                <w:b/>
                <w:color w:val="FF0000"/>
                <w:sz w:val="20"/>
              </w:rPr>
              <w:t>Cassettes sampled</w:t>
            </w:r>
          </w:p>
        </w:tc>
        <w:tc>
          <w:tcPr>
            <w:tcW w:type="dxa" w:w="2160"/>
          </w:tcPr>
          <w:p>
            <w:r/>
            <w:r>
              <w:rPr>
                <w:rFonts w:ascii="Times New Roman" w:hAnsi="Times New Roman"/>
                <w:b/>
                <w:color w:val="FF0000"/>
                <w:sz w:val="20"/>
              </w:rPr>
              <w:t>All cases (%)</w:t>
            </w:r>
          </w:p>
        </w:tc>
        <w:tc>
          <w:tcPr>
            <w:tcW w:type="dxa" w:w="2160"/>
          </w:tcPr>
          <w:p>
            <w:r/>
            <w:r>
              <w:rPr>
                <w:rFonts w:ascii="Times New Roman" w:hAnsi="Times New Roman"/>
                <w:b/>
                <w:color w:val="FF0000"/>
                <w:sz w:val="20"/>
              </w:rPr>
              <w:t>Tubo-ovarian (%)</w:t>
            </w:r>
          </w:p>
        </w:tc>
        <w:tc>
          <w:tcPr>
            <w:tcW w:type="dxa" w:w="2160"/>
          </w:tcPr>
          <w:p>
            <w:r/>
            <w:r>
              <w:rPr>
                <w:rFonts w:ascii="Times New Roman" w:hAnsi="Times New Roman"/>
                <w:b/>
                <w:color w:val="FF0000"/>
                <w:sz w:val="20"/>
              </w:rPr>
              <w:t>Endometrial (%)</w:t>
            </w:r>
          </w:p>
        </w:tc>
      </w:tr>
      <w:tr>
        <w:tc>
          <w:tcPr>
            <w:tcW w:type="dxa" w:w="2160"/>
          </w:tcPr>
          <w:p>
            <w:r/>
            <w:r>
              <w:rPr>
                <w:rFonts w:ascii="Times New Roman" w:hAnsi="Times New Roman"/>
                <w:b w:val="0"/>
                <w:color w:val="FF0000"/>
                <w:sz w:val="20"/>
              </w:rPr>
              <w:t>1</w:t>
            </w:r>
          </w:p>
        </w:tc>
        <w:tc>
          <w:tcPr>
            <w:tcW w:type="dxa" w:w="2160"/>
          </w:tcPr>
          <w:p>
            <w:pPr>
              <w:jc w:val="center"/>
            </w:pPr>
            <w:r/>
            <w:r>
              <w:rPr>
                <w:rFonts w:ascii="Times New Roman" w:hAnsi="Times New Roman"/>
                <w:b w:val="0"/>
                <w:color w:val="FF0000"/>
                <w:sz w:val="20"/>
              </w:rPr>
              <w:t>53.9</w:t>
            </w:r>
          </w:p>
        </w:tc>
        <w:tc>
          <w:tcPr>
            <w:tcW w:type="dxa" w:w="2160"/>
          </w:tcPr>
          <w:p>
            <w:pPr>
              <w:jc w:val="center"/>
            </w:pPr>
            <w:r/>
            <w:r>
              <w:rPr>
                <w:rFonts w:ascii="Times New Roman" w:hAnsi="Times New Roman"/>
                <w:b w:val="0"/>
                <w:color w:val="FF0000"/>
                <w:sz w:val="20"/>
              </w:rPr>
              <w:t>56.2</w:t>
            </w:r>
          </w:p>
        </w:tc>
        <w:tc>
          <w:tcPr>
            <w:tcW w:type="dxa" w:w="2160"/>
          </w:tcPr>
          <w:p>
            <w:pPr>
              <w:jc w:val="center"/>
            </w:pPr>
            <w:r/>
            <w:r>
              <w:rPr>
                <w:rFonts w:ascii="Times New Roman" w:hAnsi="Times New Roman"/>
                <w:b w:val="0"/>
                <w:color w:val="FF0000"/>
                <w:sz w:val="20"/>
              </w:rPr>
              <w:t>45.5</w:t>
            </w:r>
          </w:p>
        </w:tc>
      </w:tr>
      <w:tr>
        <w:tc>
          <w:tcPr>
            <w:tcW w:type="dxa" w:w="2160"/>
          </w:tcPr>
          <w:p>
            <w:r/>
            <w:r>
              <w:rPr>
                <w:rFonts w:ascii="Times New Roman" w:hAnsi="Times New Roman"/>
                <w:b w:val="0"/>
                <w:color w:val="FF0000"/>
                <w:sz w:val="20"/>
              </w:rPr>
              <w:t>2</w:t>
            </w:r>
          </w:p>
        </w:tc>
        <w:tc>
          <w:tcPr>
            <w:tcW w:type="dxa" w:w="2160"/>
          </w:tcPr>
          <w:p>
            <w:pPr>
              <w:jc w:val="center"/>
            </w:pPr>
            <w:r/>
            <w:r>
              <w:rPr>
                <w:rFonts w:ascii="Times New Roman" w:hAnsi="Times New Roman"/>
                <w:b w:val="0"/>
                <w:color w:val="FF0000"/>
                <w:sz w:val="20"/>
              </w:rPr>
              <w:t>78.7</w:t>
            </w:r>
          </w:p>
        </w:tc>
        <w:tc>
          <w:tcPr>
            <w:tcW w:type="dxa" w:w="2160"/>
          </w:tcPr>
          <w:p>
            <w:pPr>
              <w:jc w:val="center"/>
            </w:pPr>
            <w:r/>
            <w:r>
              <w:rPr>
                <w:rFonts w:ascii="Times New Roman" w:hAnsi="Times New Roman"/>
                <w:b w:val="0"/>
                <w:color w:val="FF0000"/>
                <w:sz w:val="20"/>
              </w:rPr>
              <w:t>80.8</w:t>
            </w:r>
          </w:p>
        </w:tc>
        <w:tc>
          <w:tcPr>
            <w:tcW w:type="dxa" w:w="2160"/>
          </w:tcPr>
          <w:p>
            <w:pPr>
              <w:jc w:val="center"/>
            </w:pPr>
            <w:r/>
            <w:r>
              <w:rPr>
                <w:rFonts w:ascii="Times New Roman" w:hAnsi="Times New Roman"/>
                <w:b w:val="0"/>
                <w:color w:val="FF0000"/>
                <w:sz w:val="20"/>
              </w:rPr>
              <w:t>70.3</w:t>
            </w:r>
          </w:p>
        </w:tc>
      </w:tr>
      <w:tr>
        <w:tc>
          <w:tcPr>
            <w:tcW w:type="dxa" w:w="2160"/>
          </w:tcPr>
          <w:p>
            <w:r/>
            <w:r>
              <w:rPr>
                <w:rFonts w:ascii="Times New Roman" w:hAnsi="Times New Roman"/>
                <w:b w:val="0"/>
                <w:color w:val="FF0000"/>
                <w:sz w:val="20"/>
              </w:rPr>
              <w:t>3</w:t>
            </w:r>
          </w:p>
        </w:tc>
        <w:tc>
          <w:tcPr>
            <w:tcW w:type="dxa" w:w="2160"/>
          </w:tcPr>
          <w:p>
            <w:pPr>
              <w:jc w:val="center"/>
            </w:pPr>
            <w:r/>
            <w:r>
              <w:rPr>
                <w:rFonts w:ascii="Times New Roman" w:hAnsi="Times New Roman"/>
                <w:b w:val="0"/>
                <w:color w:val="FF0000"/>
                <w:sz w:val="20"/>
              </w:rPr>
              <w:t>90.2</w:t>
            </w:r>
          </w:p>
        </w:tc>
        <w:tc>
          <w:tcPr>
            <w:tcW w:type="dxa" w:w="2160"/>
          </w:tcPr>
          <w:p>
            <w:pPr>
              <w:jc w:val="center"/>
            </w:pPr>
            <w:r/>
            <w:r>
              <w:rPr>
                <w:rFonts w:ascii="Times New Roman" w:hAnsi="Times New Roman"/>
                <w:b w:val="0"/>
                <w:color w:val="FF0000"/>
                <w:sz w:val="20"/>
              </w:rPr>
              <w:t>91.6</w:t>
            </w:r>
          </w:p>
        </w:tc>
        <w:tc>
          <w:tcPr>
            <w:tcW w:type="dxa" w:w="2160"/>
          </w:tcPr>
          <w:p>
            <w:pPr>
              <w:jc w:val="center"/>
            </w:pPr>
            <w:r/>
            <w:r>
              <w:rPr>
                <w:rFonts w:ascii="Times New Roman" w:hAnsi="Times New Roman"/>
                <w:b w:val="0"/>
                <w:color w:val="FF0000"/>
                <w:sz w:val="20"/>
              </w:rPr>
              <w:t>83.8</w:t>
            </w:r>
          </w:p>
        </w:tc>
      </w:tr>
      <w:tr>
        <w:tc>
          <w:tcPr>
            <w:tcW w:type="dxa" w:w="2160"/>
          </w:tcPr>
          <w:p>
            <w:r/>
            <w:r>
              <w:rPr>
                <w:rFonts w:ascii="Times New Roman" w:hAnsi="Times New Roman"/>
                <w:b w:val="0"/>
                <w:color w:val="FF0000"/>
                <w:sz w:val="20"/>
              </w:rPr>
              <w:t>4</w:t>
            </w:r>
          </w:p>
        </w:tc>
        <w:tc>
          <w:tcPr>
            <w:tcW w:type="dxa" w:w="2160"/>
          </w:tcPr>
          <w:p>
            <w:pPr>
              <w:jc w:val="center"/>
            </w:pPr>
            <w:r/>
            <w:r>
              <w:rPr>
                <w:rFonts w:ascii="Times New Roman" w:hAnsi="Times New Roman"/>
                <w:b w:val="0"/>
                <w:color w:val="FF0000"/>
                <w:sz w:val="20"/>
              </w:rPr>
              <w:t>95.5</w:t>
            </w:r>
          </w:p>
        </w:tc>
        <w:tc>
          <w:tcPr>
            <w:tcW w:type="dxa" w:w="2160"/>
          </w:tcPr>
          <w:p>
            <w:pPr>
              <w:jc w:val="center"/>
            </w:pPr>
            <w:r/>
            <w:r>
              <w:rPr>
                <w:rFonts w:ascii="Times New Roman" w:hAnsi="Times New Roman"/>
                <w:b w:val="0"/>
                <w:color w:val="FF0000"/>
                <w:sz w:val="20"/>
              </w:rPr>
              <w:t>96.3</w:t>
            </w:r>
          </w:p>
        </w:tc>
        <w:tc>
          <w:tcPr>
            <w:tcW w:type="dxa" w:w="2160"/>
          </w:tcPr>
          <w:p>
            <w:pPr>
              <w:jc w:val="center"/>
            </w:pPr>
            <w:r/>
            <w:r>
              <w:rPr>
                <w:rFonts w:ascii="Times New Roman" w:hAnsi="Times New Roman"/>
                <w:b w:val="0"/>
                <w:color w:val="FF0000"/>
                <w:sz w:val="20"/>
              </w:rPr>
              <w:t>91.2</w:t>
            </w:r>
          </w:p>
        </w:tc>
      </w:tr>
      <w:tr>
        <w:tc>
          <w:tcPr>
            <w:tcW w:type="dxa" w:w="2160"/>
          </w:tcPr>
          <w:p>
            <w:r/>
            <w:r>
              <w:rPr>
                <w:rFonts w:ascii="Times New Roman" w:hAnsi="Times New Roman"/>
                <w:b w:val="0"/>
                <w:color w:val="FF0000"/>
                <w:sz w:val="20"/>
              </w:rPr>
              <w:t>5</w:t>
            </w:r>
          </w:p>
        </w:tc>
        <w:tc>
          <w:tcPr>
            <w:tcW w:type="dxa" w:w="2160"/>
          </w:tcPr>
          <w:p>
            <w:pPr>
              <w:jc w:val="center"/>
            </w:pPr>
            <w:r/>
            <w:r>
              <w:rPr>
                <w:rFonts w:ascii="Times New Roman" w:hAnsi="Times New Roman"/>
                <w:b w:val="0"/>
                <w:color w:val="FF0000"/>
                <w:sz w:val="20"/>
              </w:rPr>
              <w:t>97.9</w:t>
            </w:r>
          </w:p>
        </w:tc>
        <w:tc>
          <w:tcPr>
            <w:tcW w:type="dxa" w:w="2160"/>
          </w:tcPr>
          <w:p>
            <w:pPr>
              <w:jc w:val="center"/>
            </w:pPr>
            <w:r/>
            <w:r>
              <w:rPr>
                <w:rFonts w:ascii="Times New Roman" w:hAnsi="Times New Roman"/>
                <w:b w:val="0"/>
                <w:color w:val="FF0000"/>
                <w:sz w:val="20"/>
              </w:rPr>
              <w:t>98.4</w:t>
            </w:r>
          </w:p>
        </w:tc>
        <w:tc>
          <w:tcPr>
            <w:tcW w:type="dxa" w:w="2160"/>
          </w:tcPr>
          <w:p>
            <w:pPr>
              <w:jc w:val="center"/>
            </w:pPr>
            <w:r/>
            <w:r>
              <w:rPr>
                <w:rFonts w:ascii="Times New Roman" w:hAnsi="Times New Roman"/>
                <w:b w:val="0"/>
                <w:color w:val="FF0000"/>
                <w:sz w:val="20"/>
              </w:rPr>
              <w:t>95.2</w:t>
            </w:r>
          </w:p>
        </w:tc>
      </w:tr>
      <w:tr>
        <w:tc>
          <w:tcPr>
            <w:tcW w:type="dxa" w:w="2160"/>
          </w:tcPr>
          <w:p>
            <w:r/>
            <w:r>
              <w:rPr>
                <w:rFonts w:ascii="Times New Roman" w:hAnsi="Times New Roman"/>
                <w:b w:val="0"/>
                <w:color w:val="FF0000"/>
                <w:sz w:val="20"/>
              </w:rPr>
              <w:t>6</w:t>
            </w:r>
          </w:p>
        </w:tc>
        <w:tc>
          <w:tcPr>
            <w:tcW w:type="dxa" w:w="2160"/>
          </w:tcPr>
          <w:p>
            <w:pPr>
              <w:jc w:val="center"/>
            </w:pPr>
            <w:r/>
            <w:r>
              <w:rPr>
                <w:rFonts w:ascii="Times New Roman" w:hAnsi="Times New Roman"/>
                <w:b w:val="0"/>
                <w:color w:val="FF0000"/>
                <w:sz w:val="20"/>
              </w:rPr>
              <w:t>99.0</w:t>
            </w:r>
          </w:p>
        </w:tc>
        <w:tc>
          <w:tcPr>
            <w:tcW w:type="dxa" w:w="2160"/>
          </w:tcPr>
          <w:p>
            <w:pPr>
              <w:jc w:val="center"/>
            </w:pPr>
            <w:r/>
            <w:r>
              <w:rPr>
                <w:rFonts w:ascii="Times New Roman" w:hAnsi="Times New Roman"/>
                <w:b w:val="0"/>
                <w:color w:val="FF0000"/>
                <w:sz w:val="20"/>
              </w:rPr>
              <w:t>99.3</w:t>
            </w:r>
          </w:p>
        </w:tc>
        <w:tc>
          <w:tcPr>
            <w:tcW w:type="dxa" w:w="2160"/>
          </w:tcPr>
          <w:p>
            <w:pPr>
              <w:jc w:val="center"/>
            </w:pPr>
            <w:r/>
            <w:r>
              <w:rPr>
                <w:rFonts w:ascii="Times New Roman" w:hAnsi="Times New Roman"/>
                <w:b w:val="0"/>
                <w:color w:val="FF0000"/>
                <w:sz w:val="20"/>
              </w:rPr>
              <w:t>97.4</w:t>
            </w:r>
          </w:p>
        </w:tc>
      </w:tr>
      <w:tr>
        <w:tc>
          <w:tcPr>
            <w:tcW w:type="dxa" w:w="2160"/>
          </w:tcPr>
          <w:p>
            <w:r/>
            <w:r>
              <w:rPr>
                <w:rFonts w:ascii="Times New Roman" w:hAnsi="Times New Roman"/>
                <w:b w:val="0"/>
                <w:color w:val="FF0000"/>
                <w:sz w:val="20"/>
              </w:rPr>
              <w:t>7</w:t>
            </w:r>
          </w:p>
        </w:tc>
        <w:tc>
          <w:tcPr>
            <w:tcW w:type="dxa" w:w="2160"/>
          </w:tcPr>
          <w:p>
            <w:pPr>
              <w:jc w:val="center"/>
            </w:pPr>
            <w:r/>
            <w:r>
              <w:rPr>
                <w:rFonts w:ascii="Times New Roman" w:hAnsi="Times New Roman"/>
                <w:b w:val="0"/>
                <w:color w:val="FF0000"/>
                <w:sz w:val="20"/>
              </w:rPr>
              <w:t>99.6</w:t>
            </w:r>
          </w:p>
        </w:tc>
        <w:tc>
          <w:tcPr>
            <w:tcW w:type="dxa" w:w="2160"/>
          </w:tcPr>
          <w:p>
            <w:pPr>
              <w:jc w:val="center"/>
            </w:pPr>
            <w:r/>
            <w:r>
              <w:rPr>
                <w:rFonts w:ascii="Times New Roman" w:hAnsi="Times New Roman"/>
                <w:b w:val="0"/>
                <w:color w:val="FF0000"/>
                <w:sz w:val="20"/>
              </w:rPr>
              <w:t>99.7</w:t>
            </w:r>
          </w:p>
        </w:tc>
        <w:tc>
          <w:tcPr>
            <w:tcW w:type="dxa" w:w="2160"/>
          </w:tcPr>
          <w:p>
            <w:pPr>
              <w:jc w:val="center"/>
            </w:pPr>
            <w:r/>
            <w:r>
              <w:rPr>
                <w:rFonts w:ascii="Times New Roman" w:hAnsi="Times New Roman"/>
                <w:b w:val="0"/>
                <w:color w:val="FF0000"/>
                <w:sz w:val="20"/>
              </w:rPr>
              <w:t>98.6</w:t>
            </w:r>
          </w:p>
        </w:tc>
      </w:tr>
    </w:tbl>
    <w:p>
      <w:pPr>
        <w:spacing w:after="240" w:line="480" w:lineRule="auto"/>
      </w:pPr>
      <w:r>
        <w:rPr>
          <w:rFonts w:ascii="Times New Roman" w:hAnsi="Times New Roman"/>
          <w:b/>
          <w:color w:val="FF0000"/>
          <w:sz w:val="22"/>
        </w:rPr>
        <w:t xml:space="preserve">Table 4. Cumulative Detection Probability by Primary Tumor Site. </w:t>
      </w:r>
      <w:r>
        <w:rPr>
          <w:rFonts w:ascii="Times New Roman" w:hAnsi="Times New Roman"/>
          <w:b w:val="0"/>
          <w:color w:val="FF0000"/>
          <w:sz w:val="22"/>
        </w:rPr>
        <w:t>Tubo-ovarian carcinomas (n=36) reached the 95% threshold at 4 cassettes and endometrial carcinomas (n=10) at 5; confidence intervals overlapped substantially.</w:t>
      </w:r>
    </w:p>
    <w:p>
      <w:pPr>
        <w:spacing w:after="120" w:line="480" w:lineRule="auto"/>
        <w:jc w:val="center"/>
      </w:pPr>
      <w:r>
        <w:rPr>
          <w:rFonts w:ascii="Times New Roman" w:hAnsi="Times New Roman"/>
          <w:b/>
          <w:color w:val="000000"/>
          <w:sz w:val="24"/>
        </w:rPr>
        <w:t>Occult Focus by Tumor Grade</w:t>
      </w:r>
    </w:p>
    <w:p>
      <w:pPr>
        <w:spacing w:after="120" w:line="480" w:lineRule="auto"/>
      </w:pPr>
      <w:r>
        <w:rPr>
          <w:rFonts w:ascii="Times New Roman" w:hAnsi="Times New Roman"/>
          <w:b w:val="0"/>
          <w:color w:val="FF0000"/>
          <w:sz w:val="22"/>
        </w:rPr>
        <w:t xml:space="preserve">No low-grade endometrioid carcinoma (0 of 368) had a microscopically detected occult focus, so grade-specific detection modeling was not feasible for this group (Table 5). All 46 occult-focus cases were high-grade (43; including 1 low-grade serous carcinoma) or serous borderline (3). </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
              <w:rPr>
                <w:rFonts w:ascii="Times New Roman" w:hAnsi="Times New Roman"/>
                <w:b/>
                <w:color w:val="FF0000"/>
                <w:sz w:val="20"/>
              </w:rPr>
              <w:t>Tumor grade</w:t>
            </w:r>
          </w:p>
        </w:tc>
        <w:tc>
          <w:tcPr>
            <w:tcW w:type="dxa" w:w="1728"/>
          </w:tcPr>
          <w:p>
            <w:r/>
            <w:r>
              <w:rPr>
                <w:rFonts w:ascii="Times New Roman" w:hAnsi="Times New Roman"/>
                <w:b/>
                <w:color w:val="FF0000"/>
                <w:sz w:val="20"/>
              </w:rPr>
              <w:t>Total cases</w:t>
            </w:r>
          </w:p>
        </w:tc>
        <w:tc>
          <w:tcPr>
            <w:tcW w:type="dxa" w:w="1728"/>
          </w:tcPr>
          <w:p>
            <w:r/>
            <w:r>
              <w:rPr>
                <w:rFonts w:ascii="Times New Roman" w:hAnsi="Times New Roman"/>
                <w:b/>
                <w:color w:val="FF0000"/>
                <w:sz w:val="20"/>
              </w:rPr>
              <w:t>Occult focus (&lt;0.5 cm)</w:t>
            </w:r>
          </w:p>
        </w:tc>
        <w:tc>
          <w:tcPr>
            <w:tcW w:type="dxa" w:w="1728"/>
          </w:tcPr>
          <w:p>
            <w:r/>
            <w:r>
              <w:rPr>
                <w:rFonts w:ascii="Times New Roman" w:hAnsi="Times New Roman"/>
                <w:b/>
                <w:color w:val="FF0000"/>
                <w:sz w:val="20"/>
              </w:rPr>
              <w:t>Macroscopic disease</w:t>
            </w:r>
          </w:p>
        </w:tc>
        <w:tc>
          <w:tcPr>
            <w:tcW w:type="dxa" w:w="1728"/>
          </w:tcPr>
          <w:p>
            <w:r/>
            <w:r>
              <w:rPr>
                <w:rFonts w:ascii="Times New Roman" w:hAnsi="Times New Roman"/>
                <w:b/>
                <w:color w:val="FF0000"/>
                <w:sz w:val="20"/>
              </w:rPr>
              <w:t>Any involvement (%)</w:t>
            </w:r>
          </w:p>
        </w:tc>
      </w:tr>
      <w:tr>
        <w:tc>
          <w:tcPr>
            <w:tcW w:type="dxa" w:w="1728"/>
          </w:tcPr>
          <w:p>
            <w:r/>
            <w:r>
              <w:rPr>
                <w:rFonts w:ascii="Times New Roman" w:hAnsi="Times New Roman"/>
                <w:b w:val="0"/>
                <w:color w:val="FF0000"/>
                <w:sz w:val="20"/>
              </w:rPr>
              <w:t>Low-grade (grade 1-2 endometrioid)</w:t>
            </w:r>
          </w:p>
        </w:tc>
        <w:tc>
          <w:tcPr>
            <w:tcW w:type="dxa" w:w="1728"/>
          </w:tcPr>
          <w:p>
            <w:pPr>
              <w:jc w:val="center"/>
            </w:pPr>
            <w:r/>
            <w:r>
              <w:rPr>
                <w:rFonts w:ascii="Times New Roman" w:hAnsi="Times New Roman"/>
                <w:b w:val="0"/>
                <w:color w:val="FF0000"/>
                <w:sz w:val="20"/>
              </w:rPr>
              <w:t>368</w:t>
            </w:r>
          </w:p>
        </w:tc>
        <w:tc>
          <w:tcPr>
            <w:tcW w:type="dxa" w:w="1728"/>
          </w:tcPr>
          <w:p>
            <w:pPr>
              <w:jc w:val="center"/>
            </w:pPr>
            <w:r/>
            <w:r>
              <w:rPr>
                <w:rFonts w:ascii="Times New Roman" w:hAnsi="Times New Roman"/>
                <w:b w:val="0"/>
                <w:color w:val="FF0000"/>
                <w:sz w:val="20"/>
              </w:rPr>
              <w:t>0</w:t>
            </w:r>
          </w:p>
        </w:tc>
        <w:tc>
          <w:tcPr>
            <w:tcW w:type="dxa" w:w="1728"/>
          </w:tcPr>
          <w:p>
            <w:pPr>
              <w:jc w:val="center"/>
            </w:pPr>
            <w:r/>
            <w:r>
              <w:rPr>
                <w:rFonts w:ascii="Times New Roman" w:hAnsi="Times New Roman"/>
                <w:b w:val="0"/>
                <w:color w:val="FF0000"/>
                <w:sz w:val="20"/>
              </w:rPr>
              <w:t>6</w:t>
            </w:r>
          </w:p>
        </w:tc>
        <w:tc>
          <w:tcPr>
            <w:tcW w:type="dxa" w:w="1728"/>
          </w:tcPr>
          <w:p>
            <w:pPr>
              <w:jc w:val="center"/>
            </w:pPr>
            <w:r/>
            <w:r>
              <w:rPr>
                <w:rFonts w:ascii="Times New Roman" w:hAnsi="Times New Roman"/>
                <w:b w:val="0"/>
                <w:color w:val="FF0000"/>
                <w:sz w:val="20"/>
              </w:rPr>
              <w:t>1.6</w:t>
            </w:r>
          </w:p>
        </w:tc>
      </w:tr>
      <w:tr>
        <w:tc>
          <w:tcPr>
            <w:tcW w:type="dxa" w:w="1728"/>
          </w:tcPr>
          <w:p>
            <w:r/>
            <w:r>
              <w:rPr>
                <w:rFonts w:ascii="Times New Roman" w:hAnsi="Times New Roman"/>
                <w:b w:val="0"/>
                <w:color w:val="FF0000"/>
                <w:sz w:val="20"/>
              </w:rPr>
              <w:t>High-grade</w:t>
            </w:r>
          </w:p>
        </w:tc>
        <w:tc>
          <w:tcPr>
            <w:tcW w:type="dxa" w:w="1728"/>
          </w:tcPr>
          <w:p>
            <w:pPr>
              <w:jc w:val="center"/>
            </w:pPr>
            <w:r/>
            <w:r>
              <w:rPr>
                <w:rFonts w:ascii="Times New Roman" w:hAnsi="Times New Roman"/>
                <w:b w:val="0"/>
                <w:color w:val="FF0000"/>
                <w:sz w:val="20"/>
              </w:rPr>
              <w:t>692</w:t>
            </w:r>
          </w:p>
        </w:tc>
        <w:tc>
          <w:tcPr>
            <w:tcW w:type="dxa" w:w="1728"/>
          </w:tcPr>
          <w:p>
            <w:pPr>
              <w:jc w:val="center"/>
            </w:pPr>
            <w:r/>
            <w:r>
              <w:rPr>
                <w:rFonts w:ascii="Times New Roman" w:hAnsi="Times New Roman"/>
                <w:b w:val="0"/>
                <w:color w:val="FF0000"/>
                <w:sz w:val="20"/>
              </w:rPr>
              <w:t>43</w:t>
            </w:r>
          </w:p>
        </w:tc>
        <w:tc>
          <w:tcPr>
            <w:tcW w:type="dxa" w:w="1728"/>
          </w:tcPr>
          <w:p>
            <w:pPr>
              <w:jc w:val="center"/>
            </w:pPr>
            <w:r/>
            <w:r>
              <w:rPr>
                <w:rFonts w:ascii="Times New Roman" w:hAnsi="Times New Roman"/>
                <w:b w:val="0"/>
                <w:color w:val="FF0000"/>
                <w:sz w:val="20"/>
              </w:rPr>
              <w:t>322</w:t>
            </w:r>
          </w:p>
        </w:tc>
        <w:tc>
          <w:tcPr>
            <w:tcW w:type="dxa" w:w="1728"/>
          </w:tcPr>
          <w:p>
            <w:pPr>
              <w:jc w:val="center"/>
            </w:pPr>
            <w:r/>
            <w:r>
              <w:rPr>
                <w:rFonts w:ascii="Times New Roman" w:hAnsi="Times New Roman"/>
                <w:b w:val="0"/>
                <w:color w:val="FF0000"/>
                <w:sz w:val="20"/>
              </w:rPr>
              <w:t>52.7</w:t>
            </w:r>
          </w:p>
        </w:tc>
      </w:tr>
      <w:tr>
        <w:tc>
          <w:tcPr>
            <w:tcW w:type="dxa" w:w="1728"/>
          </w:tcPr>
          <w:p>
            <w:r/>
            <w:r>
              <w:rPr>
                <w:rFonts w:ascii="Times New Roman" w:hAnsi="Times New Roman"/>
                <w:b w:val="0"/>
                <w:color w:val="FF0000"/>
                <w:sz w:val="20"/>
              </w:rPr>
              <w:t>Serous borderline</w:t>
            </w:r>
          </w:p>
        </w:tc>
        <w:tc>
          <w:tcPr>
            <w:tcW w:type="dxa" w:w="1728"/>
          </w:tcPr>
          <w:p>
            <w:pPr>
              <w:jc w:val="center"/>
            </w:pPr>
            <w:r/>
            <w:r>
              <w:rPr>
                <w:rFonts w:ascii="Times New Roman" w:hAnsi="Times New Roman"/>
                <w:b w:val="0"/>
                <w:color w:val="FF0000"/>
                <w:sz w:val="20"/>
              </w:rPr>
              <w:t>27</w:t>
            </w:r>
          </w:p>
        </w:tc>
        <w:tc>
          <w:tcPr>
            <w:tcW w:type="dxa" w:w="1728"/>
          </w:tcPr>
          <w:p>
            <w:pPr>
              <w:jc w:val="center"/>
            </w:pPr>
            <w:r/>
            <w:r>
              <w:rPr>
                <w:rFonts w:ascii="Times New Roman" w:hAnsi="Times New Roman"/>
                <w:b w:val="0"/>
                <w:color w:val="FF0000"/>
                <w:sz w:val="20"/>
              </w:rPr>
              <w:t>3</w:t>
            </w:r>
          </w:p>
        </w:tc>
        <w:tc>
          <w:tcPr>
            <w:tcW w:type="dxa" w:w="1728"/>
          </w:tcPr>
          <w:p>
            <w:pPr>
              <w:jc w:val="center"/>
            </w:pPr>
            <w:r/>
            <w:r>
              <w:rPr>
                <w:rFonts w:ascii="Times New Roman" w:hAnsi="Times New Roman"/>
                <w:b w:val="0"/>
                <w:color w:val="FF0000"/>
                <w:sz w:val="20"/>
              </w:rPr>
              <w:t>1</w:t>
            </w:r>
          </w:p>
        </w:tc>
        <w:tc>
          <w:tcPr>
            <w:tcW w:type="dxa" w:w="1728"/>
          </w:tcPr>
          <w:p>
            <w:pPr>
              <w:jc w:val="center"/>
            </w:pPr>
            <w:r/>
            <w:r>
              <w:rPr>
                <w:rFonts w:ascii="Times New Roman" w:hAnsi="Times New Roman"/>
                <w:b w:val="0"/>
                <w:color w:val="FF0000"/>
                <w:sz w:val="20"/>
              </w:rPr>
              <w:t>14.8</w:t>
            </w:r>
          </w:p>
        </w:tc>
      </w:tr>
    </w:tbl>
    <w:p>
      <w:pPr>
        <w:spacing w:after="240" w:line="480" w:lineRule="auto"/>
      </w:pPr>
      <w:r>
        <w:rPr>
          <w:rFonts w:ascii="Times New Roman" w:hAnsi="Times New Roman"/>
          <w:b/>
          <w:color w:val="FF0000"/>
          <w:sz w:val="22"/>
        </w:rPr>
        <w:t xml:space="preserve">Table 5. Omental Involvement by Tumor Grade. </w:t>
      </w:r>
      <w:r>
        <w:rPr>
          <w:rFonts w:ascii="Times New Roman" w:hAnsi="Times New Roman"/>
          <w:b w:val="0"/>
          <w:color w:val="FF0000"/>
          <w:sz w:val="22"/>
        </w:rPr>
        <w:t>Low-grade serous carcinoma of the ovary (7 cases, 1 with an occult focus) is included in the high-grade row for consistency with the grade-based analysis. "Any involvement" combines occult and macroscopic disease. The 11 tumors of "other" grade are not shown.</w:t>
      </w:r>
    </w:p>
    <w:p>
      <w:pPr>
        <w:spacing w:after="120" w:line="480" w:lineRule="auto"/>
      </w:pPr>
      <w:r>
        <w:rPr>
          <w:rFonts w:ascii="Times New Roman" w:hAnsi="Times New Roman"/>
          <w:b w:val="0"/>
          <w:color w:val="FF0000"/>
          <w:sz w:val="22"/>
        </w:rPr>
        <w:t>This absence must be interpreted cautiously. Only 13 low-grade tumors in the cohort were of ovarian origin, so the cohort is essentially powered to comment on low-grade endometrial rather than ovarian disease. Moreover, low-grade tumors were not free of omental disease overall: 6 low-grade cases had grossly evident (macroscopic) omental metastasis (5 endometrial, 1 ovarian). The finding is therefore best read as showing that occult, sub-gross foci are uncommon in low-grade endometrioid carcinoma — not that low-grade tumors cannot metastasize to the omentum — and it should be validated in larger studies powered for low-frequency events.</w:t>
      </w:r>
    </w:p>
    <w:p>
      <w:pPr>
        <w:spacing w:after="120" w:line="480" w:lineRule="auto"/>
        <w:jc w:val="center"/>
      </w:pPr>
      <w:r>
        <w:rPr>
          <w:rFonts w:ascii="Times New Roman" w:hAnsi="Times New Roman"/>
          <w:b/>
          <w:color w:val="000000"/>
          <w:sz w:val="26"/>
        </w:rPr>
        <w:t>DISCUSSION</w:t>
      </w:r>
    </w:p>
    <w:p>
      <w:pPr>
        <w:spacing w:after="120" w:line="480" w:lineRule="auto"/>
      </w:pPr>
      <w:r>
        <w:rPr>
          <w:rFonts w:ascii="Times New Roman" w:hAnsi="Times New Roman"/>
          <w:b w:val="0"/>
          <w:color w:val="000000"/>
          <w:sz w:val="22"/>
        </w:rPr>
        <w:t>This study demonstrates that the extent of omental sampling has a measurable impact on the detection of microscopic metastatic disease in ovarian and endometrial carcinomas. Our findings support and extend previous model-based observations suggesting that limited sampling may be inadequate for detecting small metastatic foci, particularly in grossly normal-appearing omentum.</w:t>
      </w:r>
    </w:p>
    <w:p>
      <w:pPr>
        <w:spacing w:after="120" w:line="480" w:lineRule="auto"/>
      </w:pPr>
      <w:r>
        <w:rPr>
          <w:rFonts w:ascii="Times New Roman" w:hAnsi="Times New Roman"/>
          <w:b w:val="0"/>
          <w:color w:val="000000"/>
          <w:sz w:val="22"/>
        </w:rPr>
        <w:t>Significant variation exists among previous studies and pathology protocols regarding omental sampling strategies. Although some retrospective analyses have reported that submission of one or two blocks yields metastasis detection rates similar to more extensive sampling (8, 9), these findings may have been influenced by cohort characteristics, tumor biology, and inclusion of cases with macroscopically evident disease. In contrast, studies focusing on staging-negative or macroscopically normal omentum have emphasized that limited sampling may miss microscopic disease (5). One model study found that increasing the block number from five to ten raised sensitivity from 82% to 95% (7).</w:t>
      </w:r>
    </w:p>
    <w:p>
      <w:pPr>
        <w:spacing w:after="120" w:line="480" w:lineRule="auto"/>
      </w:pPr>
      <w:r>
        <w:rPr>
          <w:rFonts w:ascii="Times New Roman" w:hAnsi="Times New Roman"/>
          <w:b w:val="0"/>
          <w:color w:val="000000"/>
          <w:sz w:val="22"/>
        </w:rPr>
        <w:t xml:space="preserve">Our findings indicate that occult foci can be detected in at least 95% of affected cases by obtaining 4 blocks from grossly normal-appearing omentum, with detection approaching 99.6% at 7 cassettes. </w:t>
      </w:r>
      <w:r>
        <w:rPr>
          <w:rFonts w:ascii="Times New Roman" w:hAnsi="Times New Roman"/>
          <w:b w:val="0"/>
          <w:color w:val="FF0000"/>
          <w:sz w:val="22"/>
        </w:rPr>
        <w:t>Our 4-cassette threshold for greater than 95% sensitivity differs from the model study by Skala and Hagemann, which required 10 blocks for 95% sensitivity. This likely reflects differences in cohort composition, the size definition used here (&lt;0.5 cm), and our use of a large real-world dataset rather than a simulation model.</w:t>
      </w:r>
      <w:r>
        <w:rPr>
          <w:rFonts w:ascii="Times New Roman" w:hAnsi="Times New Roman"/>
          <w:b w:val="0"/>
          <w:color w:val="000000"/>
          <w:sz w:val="22"/>
        </w:rPr>
        <w:t xml:space="preserve"> Our finding shows greater concordance with recommendations for more extensive sampling and provides real-world data from routine practice.</w:t>
      </w:r>
    </w:p>
    <w:p>
      <w:pPr>
        <w:spacing w:after="120" w:line="480" w:lineRule="auto"/>
      </w:pPr>
      <w:r>
        <w:rPr>
          <w:rFonts w:ascii="Times New Roman" w:hAnsi="Times New Roman"/>
          <w:b w:val="0"/>
          <w:color w:val="FF0000"/>
          <w:sz w:val="22"/>
        </w:rPr>
        <w:t>Choosing a target sensitivity involves an explicit trade-off. We frame 4 blocks as achieving greater than 95% detection because it captures most of the yield at a workload that is realistic for routine practice, but 95% is not a biologic endpoint and the residual 5% miss rate is not negligible when the consequence is misclassifying stage IVB disease as early-stage. Because detection is cumulative, each additional block continues to reduce the residual miss rate — in our geometric model the shortfall falls from roughly 4.5% at 4 blocks to about 2% at 5 and under 1% at 6 — so a laboratory prioritizing staging accuracy over throughput can reasonably submit one or two additional blocks to halve or quarter the miss rate. We therefore present 4 blocks as a defensible minimum for grossly normal omentum rather than a ceiling, and recommend more extensive sampling when the clinical stakes of understaging are high.</w:t>
      </w:r>
    </w:p>
    <w:p>
      <w:pPr>
        <w:spacing w:after="120" w:line="480" w:lineRule="auto"/>
      </w:pPr>
      <w:r>
        <w:rPr>
          <w:rFonts w:ascii="Times New Roman" w:hAnsi="Times New Roman"/>
          <w:b w:val="0"/>
          <w:color w:val="FF0000"/>
          <w:sz w:val="22"/>
        </w:rPr>
        <w:t>An important methodologic caveat concerns selective sampling at the grossing bench. Our independence assumption treats each cassette as a blind draw from grossly normal tissue, but in routine practice a prosector may preferentially submit areas that feel firmer, more fibrotic, or subtly abnormal even when these are not explicitly recorded in the gross description. Such informal targeting would raise the apparent yield of the first few blocks and could inflate the sensitivity attributed to a 4-block protocol; our estimates should therefore be read as reflecting real-world grossing behavior rather than strictly random sampling. A truly random-sampling study, or prospective mapping of block locations, would be required to separate these effects.</w:t>
      </w:r>
    </w:p>
    <w:p>
      <w:pPr>
        <w:spacing w:after="120" w:line="480" w:lineRule="auto"/>
      </w:pPr>
      <w:r>
        <w:rPr>
          <w:rFonts w:ascii="Times New Roman" w:hAnsi="Times New Roman"/>
          <w:b w:val="0"/>
          <w:color w:val="FF0000"/>
          <w:sz w:val="22"/>
        </w:rPr>
        <w:t>The cohort includes 8 patients with synchronous endometrial and ovarian tumors, in whom the origin of an omental deposit can be ambiguous. In our series this does not affect the detection analysis: none of the 8 synchronous cases had an occult (&lt;0.5 cm) omental focus — 6 had no omental involvement and 2 had grossly evident disease — so no synchronous case contributed to the 46 first-detection cases on which the sampling recommendation is based. Of the 2 with macroscopic disease, both had concordant grade at the two sites (both low-grade in one, both high-grade in the other), and we did not attempt to assign a single site of origin; because neither entered the occult-focus analysis, their inclusion does not confound the results.</w:t>
      </w:r>
    </w:p>
    <w:p>
      <w:pPr>
        <w:spacing w:after="120" w:line="480" w:lineRule="auto"/>
      </w:pPr>
      <w:r>
        <w:rPr>
          <w:rFonts w:ascii="Times New Roman" w:hAnsi="Times New Roman"/>
          <w:b w:val="0"/>
          <w:color w:val="FF0000"/>
          <w:sz w:val="22"/>
        </w:rPr>
        <w:t>The composition of the cohort also warrants comment. Roughly a third of cases were low-grade endometrioid carcinoma, a group for which omental staging is often not performed in routine practice unless gross disease is present, so our cohort likely reflects institutional practice in which omentectomy was performed across a broad range of tumors. This admixture means the overall 4.2% occult-focus rate should not be read as the risk in the high-grade tumors for which sampling matters most; among high-grade carcinomas alone the occult-focus rate was 6.2% and any omental involvement 52.7%. The "high-grade" category itself is heterogeneous — encompassing high-grade serous, carcinosarcoma, clear cell, and high-grade endometrioid carcinoma — and these histotypes may differ in metastatic propensity; the dominance of high-grade serous carcinoma among our occult-focus cases (32 of 46) is consistent with its known omental tropism. Low-grade serous carcinoma of the ovary, a recognized indication for omental staging, was under-represented (7 cases) and contributed a single occult focus, so our data cannot speak to sampling adequacy in that specific histotype.</w:t>
      </w:r>
    </w:p>
    <w:p>
      <w:pPr>
        <w:spacing w:after="120" w:line="480" w:lineRule="auto"/>
      </w:pPr>
      <w:r>
        <w:rPr>
          <w:rFonts w:ascii="Times New Roman" w:hAnsi="Times New Roman"/>
          <w:b w:val="0"/>
          <w:color w:val="000000"/>
          <w:sz w:val="22"/>
        </w:rPr>
        <w:t>The detection of microscopic omental metastases even in cases without macroscopic omental abnormality reveals the limitations of macroscopic evaluation alone. This is particularly important in endometrial carcinoma, as omental involvement even at the microscopic level classifies the disease as FIGO stage IVB and carries significant prognostic adversity. Given the strong association of omental metastasis with other poor prognostic features, inadequate sampling may lead to understaging and potentially suboptimal management.</w:t>
      </w:r>
    </w:p>
    <w:p>
      <w:pPr>
        <w:spacing w:after="120" w:line="480" w:lineRule="auto"/>
        <w:jc w:val="center"/>
      </w:pPr>
      <w:r>
        <w:rPr>
          <w:rFonts w:ascii="Times New Roman" w:hAnsi="Times New Roman"/>
          <w:b/>
          <w:color w:val="000000"/>
          <w:sz w:val="24"/>
        </w:rPr>
        <w:t>Strengths and Limitations</w:t>
      </w:r>
    </w:p>
    <w:p>
      <w:pPr>
        <w:spacing w:after="120" w:line="480" w:lineRule="auto"/>
      </w:pPr>
      <w:r>
        <w:rPr>
          <w:rFonts w:ascii="Times New Roman" w:hAnsi="Times New Roman"/>
          <w:b w:val="0"/>
          <w:color w:val="000000"/>
          <w:sz w:val="22"/>
        </w:rPr>
        <w:t xml:space="preserve">Strengths include the large cohort (n=1098), inclusion of both ovarian and endometrial carcinomas, and a practically relevant question. All statistical values are computed directly from the data with full reproducibility. Limitations include the retrospective design and lack of long-term follow-up. </w:t>
      </w:r>
      <w:r>
        <w:rPr>
          <w:rFonts w:ascii="Times New Roman" w:hAnsi="Times New Roman"/>
          <w:b w:val="0"/>
          <w:color w:val="FF0000"/>
          <w:sz w:val="22"/>
        </w:rPr>
        <w:t>An inherent limitation of any retrospective sampling-adequacy study is verification bias: we can only analyze cases in which a focus was actually detected. Patients whose true occult metastasis was entirely missed by the original protocol are classified as negative, so our estimates are conditional on at least one positive cassette, and the true rate of occult omental metastasis may exceed the 4.2% observed. As discussed above, informal targeting during grossing and the low-grade-heavy case mix are additional sources of bias. The beta-binomial sensitivity analysis nonetheless confirmed that the 4-cassette recommendation remains reasonable after accounting for inter-case heterogeneity.</w:t>
      </w:r>
      <w:r>
        <w:rPr>
          <w:rFonts w:ascii="Times New Roman" w:hAnsi="Times New Roman"/>
          <w:b w:val="0"/>
          <w:color w:val="000000"/>
          <w:sz w:val="22"/>
        </w:rPr>
        <w:t xml:space="preserve"> Prospective studies with standardized, spatially mapped sampling protocols would provide more definitive evidence.</w:t>
      </w:r>
    </w:p>
    <w:p>
      <w:pPr>
        <w:spacing w:after="120" w:line="480" w:lineRule="auto"/>
        <w:jc w:val="center"/>
      </w:pPr>
      <w:r>
        <w:rPr>
          <w:rFonts w:ascii="Times New Roman" w:hAnsi="Times New Roman"/>
          <w:b/>
          <w:color w:val="000000"/>
          <w:sz w:val="24"/>
        </w:rPr>
        <w:t>Clinical Implications</w:t>
      </w:r>
    </w:p>
    <w:p>
      <w:pPr>
        <w:spacing w:after="120" w:line="480" w:lineRule="auto"/>
      </w:pPr>
      <w:r>
        <w:rPr>
          <w:rFonts w:ascii="Times New Roman" w:hAnsi="Times New Roman"/>
          <w:b w:val="0"/>
          <w:color w:val="000000"/>
          <w:sz w:val="22"/>
        </w:rPr>
        <w:t>This study demonstrates that the extent of omental sampling significantly affects the detection of microscopic metastatic disease in ovarian and endometrial carcinomas. Particularly in cases with grossly normal omentum, increasing the sampling extent can improve staging accuracy and play a decisive role in clinical decision-making.</w:t>
      </w:r>
    </w:p>
    <w:p>
      <w:pPr>
        <w:spacing w:after="120" w:line="480" w:lineRule="auto"/>
      </w:pPr>
      <w:r>
        <w:rPr>
          <w:rFonts w:ascii="Times New Roman" w:hAnsi="Times New Roman"/>
          <w:b/>
          <w:color w:val="000000"/>
          <w:sz w:val="22"/>
        </w:rPr>
        <w:t>Our data suggest that submission of at least 4 cassettes from grossly normal-appearing omentum achieves greater than 95% sensitivity for detecting microscopic metastases, with each additional block further reducing the residual miss rate. This balances accurate staging against tissue-processing workload. Future prospective studies should validate these findings and determine whether this sampling strategy affects clinical outcomes and treatment decisions.</w:t>
      </w:r>
    </w:p>
    <w:p>
      <w:pPr>
        <w:spacing w:after="120" w:line="480" w:lineRule="auto"/>
        <w:jc w:val="center"/>
      </w:pPr>
      <w:r>
        <w:rPr>
          <w:rFonts w:ascii="Times New Roman" w:hAnsi="Times New Roman"/>
          <w:b/>
          <w:color w:val="000000"/>
          <w:sz w:val="26"/>
        </w:rPr>
        <w:t>FIGURE LEGENDS</w:t>
      </w:r>
    </w:p>
    <w:p>
      <w:pPr>
        <w:spacing w:after="120" w:line="480" w:lineRule="auto"/>
      </w:pPr>
      <w:r>
        <w:rPr>
          <w:rFonts w:ascii="Times New Roman" w:hAnsi="Times New Roman"/>
          <w:b/>
          <w:color w:val="000000"/>
          <w:sz w:val="22"/>
        </w:rPr>
        <w:t xml:space="preserve">Figure 1. </w:t>
      </w:r>
      <w:r>
        <w:rPr>
          <w:rFonts w:ascii="Times New Roman" w:hAnsi="Times New Roman"/>
          <w:b w:val="0"/>
          <w:color w:val="000000"/>
          <w:sz w:val="22"/>
        </w:rPr>
        <w:t>Distribution of omental metastasis status in the full cohort (N=1098), showing the number and percentage of cases with no involvement, a microscopically detected occult focus (&lt;0.5 cm), and grossly evident (macroscopic) disease.</w:t>
      </w:r>
    </w:p>
    <w:p>
      <w:pPr>
        <w:spacing w:after="120" w:line="480" w:lineRule="auto"/>
      </w:pPr>
      <w:r>
        <w:rPr>
          <w:rFonts w:ascii="Times New Roman" w:hAnsi="Times New Roman"/>
          <w:b/>
          <w:color w:val="000000"/>
          <w:sz w:val="22"/>
        </w:rPr>
        <w:t xml:space="preserve">Figure 2. </w:t>
      </w:r>
      <w:r>
        <w:rPr>
          <w:rFonts w:ascii="Times New Roman" w:hAnsi="Times New Roman"/>
          <w:b w:val="0"/>
          <w:color w:val="000000"/>
          <w:sz w:val="22"/>
        </w:rPr>
        <w:t>Distribution of first metastasis detection by cassette number among the 46 cases with a microscopically detected occult focus. The focus was found in the first cassette in 52.2% of cases and in the second in 26.1%.</w:t>
      </w:r>
    </w:p>
    <w:p>
      <w:pPr>
        <w:spacing w:after="120" w:line="480" w:lineRule="auto"/>
      </w:pPr>
      <w:r>
        <w:rPr>
          <w:rFonts w:ascii="Times New Roman" w:hAnsi="Times New Roman"/>
          <w:b/>
          <w:color w:val="000000"/>
          <w:sz w:val="22"/>
        </w:rPr>
        <w:t xml:space="preserve">Figure 3. </w:t>
      </w:r>
      <w:r>
        <w:rPr>
          <w:rFonts w:ascii="Times New Roman" w:hAnsi="Times New Roman"/>
          <w:b w:val="0"/>
          <w:color w:val="000000"/>
          <w:sz w:val="22"/>
        </w:rPr>
        <w:t>Cumulative detection probability of a microscopically detected occult omental focus as a function of the number of cassettes sampled, based on the geometric model (per-cassette detection probability, 53.9%). The dashed lines mark the 95% detection threshold and the corresponding 4-cassette recommendation.</w:t>
      </w:r>
    </w:p>
    <w:p>
      <w:pPr>
        <w:spacing w:after="120" w:line="480" w:lineRule="auto"/>
      </w:pPr>
      <w:r>
        <w:rPr>
          <w:rFonts w:ascii="Times New Roman" w:hAnsi="Times New Roman"/>
          <w:b/>
          <w:color w:val="000000"/>
          <w:sz w:val="22"/>
        </w:rPr>
        <w:t xml:space="preserve">Figure 4. </w:t>
      </w:r>
      <w:r>
        <w:rPr>
          <w:rFonts w:ascii="Times New Roman" w:hAnsi="Times New Roman"/>
          <w:b w:val="0"/>
          <w:color w:val="000000"/>
          <w:sz w:val="22"/>
        </w:rPr>
        <w:t>Cumulative detection probability by primary tumor site. Curves are shown for all cases, tubo-ovarian carcinomas, and endometrial carcinomas. Tubo-ovarian carcinomas reached the 95% threshold at 4 cassettes and endometrial carcinomas at 5; confidence intervals overlapped substantially.</w:t>
      </w:r>
    </w:p>
    <w:p>
      <w:pPr>
        <w:spacing w:after="120" w:line="480" w:lineRule="auto"/>
        <w:jc w:val="center"/>
      </w:pPr>
      <w:r>
        <w:rPr>
          <w:rFonts w:ascii="Times New Roman" w:hAnsi="Times New Roman"/>
          <w:b/>
          <w:color w:val="000000"/>
          <w:sz w:val="26"/>
        </w:rPr>
        <w:t>ACKNOWLEDGMENTS</w:t>
      </w:r>
    </w:p>
    <w:p>
      <w:pPr>
        <w:spacing w:after="120" w:line="480" w:lineRule="auto"/>
      </w:pPr>
      <w:r>
        <w:rPr>
          <w:rFonts w:ascii="Times New Roman" w:hAnsi="Times New Roman"/>
          <w:b w:val="0"/>
          <w:color w:val="000000"/>
          <w:sz w:val="22"/>
        </w:rPr>
        <w:t>The authors thank the technical staff of the Department of Pathology for their assistance with slide retrieval and preparation.</w:t>
      </w:r>
    </w:p>
    <w:p>
      <w:pPr>
        <w:spacing w:after="120" w:line="480" w:lineRule="auto"/>
        <w:jc w:val="center"/>
      </w:pPr>
      <w:r>
        <w:rPr>
          <w:rFonts w:ascii="Times New Roman" w:hAnsi="Times New Roman"/>
          <w:b/>
          <w:color w:val="000000"/>
          <w:sz w:val="26"/>
        </w:rPr>
        <w:t>DATA AVAILABILITY</w:t>
      </w:r>
    </w:p>
    <w:p>
      <w:pPr>
        <w:spacing w:after="120" w:line="480" w:lineRule="auto"/>
      </w:pPr>
      <w:r>
        <w:rPr>
          <w:rFonts w:ascii="Times New Roman" w:hAnsi="Times New Roman"/>
          <w:b w:val="0"/>
          <w:color w:val="000000"/>
          <w:sz w:val="22"/>
        </w:rPr>
        <w:t>The datasets generated and analyzed during the current study are available from the corresponding author upon reasonable request. All statistical computations are fully reproducible using the provided R code.</w:t>
      </w:r>
    </w:p>
    <w:p>
      <w:pPr>
        <w:spacing w:after="120" w:line="480" w:lineRule="auto"/>
        <w:jc w:val="center"/>
      </w:pPr>
      <w:r>
        <w:rPr>
          <w:rFonts w:ascii="Times New Roman" w:hAnsi="Times New Roman"/>
          <w:b/>
          <w:color w:val="000000"/>
          <w:sz w:val="26"/>
        </w:rPr>
        <w:t>REFERENCES</w:t>
      </w:r>
    </w:p>
    <w:p>
      <w:pPr>
        <w:spacing w:after="120" w:line="480" w:lineRule="auto"/>
      </w:pPr>
      <w:r>
        <w:rPr>
          <w:rFonts w:ascii="Times New Roman" w:hAnsi="Times New Roman"/>
          <w:b w:val="0"/>
          <w:color w:val="000000"/>
          <w:sz w:val="22"/>
        </w:rPr>
        <w:t>1.</w:t>
        <w:tab/>
        <w:t>Ganesan R, Singh N, McCluggage WG. Standards and datasets for reporting cancers; dataset for histological reporting of endometrial cancer. R Coll Pathol. 2017:1-39.</w:t>
      </w:r>
    </w:p>
    <w:p>
      <w:pPr>
        <w:spacing w:after="120" w:line="480" w:lineRule="auto"/>
      </w:pPr>
      <w:r>
        <w:rPr>
          <w:rFonts w:ascii="Times New Roman" w:hAnsi="Times New Roman"/>
          <w:b w:val="0"/>
          <w:color w:val="000000"/>
          <w:sz w:val="22"/>
        </w:rPr>
        <w:t>2.</w:t>
        <w:tab/>
        <w:t>Matias-Guiu X, Selinger CI, Anderson L, et al. Data set for the reporting of endometrial cancer: recommendations from the International Collaboration on Cancer Reporting (ICCR). Int J Gynecol Pathol. 2022;41(Suppl 1):S90-S118.</w:t>
      </w:r>
    </w:p>
    <w:p>
      <w:pPr>
        <w:spacing w:after="120" w:line="480" w:lineRule="auto"/>
      </w:pPr>
      <w:r>
        <w:rPr>
          <w:rFonts w:ascii="Times New Roman" w:hAnsi="Times New Roman"/>
          <w:b w:val="0"/>
          <w:color w:val="000000"/>
          <w:sz w:val="22"/>
        </w:rPr>
        <w:t>3.</w:t>
        <w:tab/>
        <w:t>Arie AB, McNally L, Kapp DS, Teng NN. The omentum and omentectomy in epithelial ovarian cancer: a reappraisal. Part I—omental function and history of omentectomy. Gynecol Oncol. 2013;131(3):780-783.</w:t>
      </w:r>
    </w:p>
    <w:p>
      <w:pPr>
        <w:spacing w:after="120" w:line="480" w:lineRule="auto"/>
      </w:pPr>
      <w:r>
        <w:rPr>
          <w:rFonts w:ascii="Times New Roman" w:hAnsi="Times New Roman"/>
          <w:b w:val="0"/>
          <w:color w:val="000000"/>
          <w:sz w:val="22"/>
        </w:rPr>
        <w:t>4.</w:t>
        <w:tab/>
        <w:t>Talia KL, Parra-Herran C, McCluggage WG. Macroscopic examination of gynaecological specimens: a critical and often underemphasised aspect of pathological reporting. J Clin Pathol. 2024;77(3):190-203.</w:t>
      </w:r>
    </w:p>
    <w:p>
      <w:pPr>
        <w:spacing w:after="120" w:line="480" w:lineRule="auto"/>
      </w:pPr>
      <w:r>
        <w:rPr>
          <w:rFonts w:ascii="Times New Roman" w:hAnsi="Times New Roman"/>
          <w:b w:val="0"/>
          <w:color w:val="000000"/>
          <w:sz w:val="22"/>
        </w:rPr>
        <w:t>5.</w:t>
        <w:tab/>
        <w:t>Usubütün A, Ozseker HS, Himmetoglu C, Balcı S, Ayhan A. Omentectomy for gynecologic cancer: how much sampling is adequate for microscopic examination? Arch Pathol Lab Med. 2007;131(10):1578-1581.</w:t>
      </w:r>
    </w:p>
    <w:p>
      <w:pPr>
        <w:spacing w:after="120" w:line="480" w:lineRule="auto"/>
      </w:pPr>
      <w:r>
        <w:rPr>
          <w:rFonts w:ascii="Times New Roman" w:hAnsi="Times New Roman"/>
          <w:b w:val="0"/>
          <w:color w:val="000000"/>
          <w:sz w:val="22"/>
        </w:rPr>
        <w:t>6.</w:t>
        <w:tab/>
        <w:t>Crothers BA, Krishnamurti UG, Birdsong GG, Klepeis V, Movahedi-Lankarani S, Otis CN. Protocol for the Examination of Specimens From Patients With Primary Tumors of the Ovary, Fallopian Tube, or Peritoneum. Coll Am Pathol. 2023.</w:t>
      </w:r>
    </w:p>
    <w:p>
      <w:pPr>
        <w:spacing w:after="120" w:line="480" w:lineRule="auto"/>
      </w:pPr>
      <w:r>
        <w:rPr>
          <w:rFonts w:ascii="Times New Roman" w:hAnsi="Times New Roman"/>
          <w:b w:val="0"/>
          <w:color w:val="000000"/>
          <w:sz w:val="22"/>
        </w:rPr>
        <w:t>7.</w:t>
        <w:tab/>
        <w:t>Skala SL, Hagemann IS. Optimal sampling of grossly normal omentum in staging of gynecologic malignancies. Int J Gynecol Pathol. 2015;34(3):281-287.</w:t>
      </w:r>
    </w:p>
    <w:p>
      <w:pPr>
        <w:spacing w:after="120" w:line="480" w:lineRule="auto"/>
      </w:pPr>
      <w:r>
        <w:rPr>
          <w:rFonts w:ascii="Times New Roman" w:hAnsi="Times New Roman"/>
          <w:b w:val="0"/>
          <w:color w:val="000000"/>
          <w:sz w:val="22"/>
        </w:rPr>
        <w:t>8.</w:t>
        <w:tab/>
        <w:t>Doig T, Monaghan H. Sampling the omentum in ovarian neoplasia: when one block is enough. Int J Gynecol Cancer. 2006;16(1):36-40.</w:t>
      </w:r>
    </w:p>
    <w:p>
      <w:pPr>
        <w:spacing w:after="120" w:line="480" w:lineRule="auto"/>
      </w:pPr>
      <w:r>
        <w:rPr>
          <w:rFonts w:ascii="Times New Roman" w:hAnsi="Times New Roman"/>
          <w:b w:val="0"/>
          <w:color w:val="000000"/>
          <w:sz w:val="22"/>
        </w:rPr>
        <w:t>9.</w:t>
        <w:tab/>
        <w:t>Maglalang NA, Fadare O. Pathologic sampling of the omentum for neoplasms that involve the female genital tract: a retrospective analysis of 1055 cases. Am J Clin Pathol. 2025;164(4):581-588.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480" w:lineRule="auto"/>
    </w:pPr>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